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CB28" w14:textId="7261E207" w:rsidR="00245199" w:rsidRPr="00626895" w:rsidRDefault="00245199" w:rsidP="00B16085">
      <w:pPr>
        <w:spacing w:line="360" w:lineRule="auto"/>
        <w:contextualSpacing/>
        <w:jc w:val="center"/>
        <w:rPr>
          <w:rFonts w:ascii="Times New Roman" w:hAnsi="Times New Roman" w:cs="Times New Roman"/>
          <w:b/>
          <w:bCs/>
          <w:sz w:val="24"/>
          <w:szCs w:val="24"/>
          <w:lang w:val="en-GB"/>
        </w:rPr>
      </w:pPr>
      <w:r w:rsidRPr="00626895">
        <w:rPr>
          <w:rFonts w:ascii="Times New Roman" w:hAnsi="Times New Roman" w:cs="Times New Roman"/>
          <w:b/>
          <w:bCs/>
          <w:sz w:val="24"/>
          <w:szCs w:val="24"/>
          <w:lang w:val="en-GB"/>
        </w:rPr>
        <w:t>“</w:t>
      </w:r>
      <w:r w:rsidR="00B1384D" w:rsidRPr="00626895">
        <w:rPr>
          <w:rFonts w:ascii="Times New Roman" w:hAnsi="Times New Roman" w:cs="Times New Roman"/>
          <w:b/>
          <w:bCs/>
          <w:sz w:val="24"/>
          <w:szCs w:val="24"/>
          <w:lang w:val="en-GB"/>
        </w:rPr>
        <w:t>After the 4</w:t>
      </w:r>
      <w:r w:rsidR="00B1384D" w:rsidRPr="00626895">
        <w:rPr>
          <w:rFonts w:ascii="Times New Roman" w:hAnsi="Times New Roman" w:cs="Times New Roman"/>
          <w:b/>
          <w:bCs/>
          <w:sz w:val="24"/>
          <w:szCs w:val="24"/>
          <w:vertAlign w:val="superscript"/>
          <w:lang w:val="en-GB"/>
        </w:rPr>
        <w:t>th</w:t>
      </w:r>
      <w:r w:rsidR="00B1384D" w:rsidRPr="00626895">
        <w:rPr>
          <w:rFonts w:ascii="Times New Roman" w:hAnsi="Times New Roman" w:cs="Times New Roman"/>
          <w:b/>
          <w:bCs/>
          <w:sz w:val="24"/>
          <w:szCs w:val="24"/>
          <w:lang w:val="en-GB"/>
        </w:rPr>
        <w:t xml:space="preserve"> Month</w:t>
      </w:r>
      <w:r w:rsidRPr="00626895">
        <w:rPr>
          <w:rFonts w:ascii="Times New Roman" w:hAnsi="Times New Roman" w:cs="Times New Roman"/>
          <w:b/>
          <w:bCs/>
          <w:sz w:val="24"/>
          <w:szCs w:val="24"/>
          <w:lang w:val="en-GB"/>
        </w:rPr>
        <w:t>”.</w:t>
      </w:r>
      <w:r w:rsidR="00B1384D" w:rsidRPr="00626895">
        <w:rPr>
          <w:rFonts w:ascii="Times New Roman" w:hAnsi="Times New Roman" w:cs="Times New Roman"/>
          <w:b/>
          <w:bCs/>
          <w:sz w:val="24"/>
          <w:szCs w:val="24"/>
          <w:lang w:val="en-GB"/>
        </w:rPr>
        <w:t xml:space="preserve"> </w:t>
      </w:r>
    </w:p>
    <w:p w14:paraId="45EB2DB4" w14:textId="456D9819" w:rsidR="00BA2F25" w:rsidRPr="00626895" w:rsidRDefault="00B1384D" w:rsidP="00B16085">
      <w:pPr>
        <w:spacing w:line="360" w:lineRule="auto"/>
        <w:contextualSpacing/>
        <w:jc w:val="center"/>
        <w:rPr>
          <w:rFonts w:ascii="Times New Roman" w:hAnsi="Times New Roman" w:cs="Times New Roman"/>
          <w:b/>
          <w:bCs/>
          <w:sz w:val="24"/>
          <w:szCs w:val="24"/>
          <w:lang w:val="en-GB"/>
        </w:rPr>
      </w:pPr>
      <w:r w:rsidRPr="00626895">
        <w:rPr>
          <w:rFonts w:ascii="Times New Roman" w:hAnsi="Times New Roman" w:cs="Times New Roman"/>
          <w:b/>
          <w:bCs/>
          <w:sz w:val="24"/>
          <w:szCs w:val="24"/>
          <w:lang w:val="en-GB"/>
        </w:rPr>
        <w:t>Questionable Food Labelling for Infant Products under EU Food Law</w:t>
      </w:r>
    </w:p>
    <w:p w14:paraId="24BF514F" w14:textId="77777777" w:rsidR="00B1384D" w:rsidRPr="00626895" w:rsidRDefault="00B1384D" w:rsidP="00B16085">
      <w:pPr>
        <w:spacing w:line="360" w:lineRule="auto"/>
        <w:ind w:firstLine="709"/>
        <w:contextualSpacing/>
        <w:jc w:val="both"/>
        <w:rPr>
          <w:rFonts w:ascii="Times New Roman" w:eastAsia="Times New Roman" w:hAnsi="Times New Roman" w:cs="Times New Roman"/>
          <w:sz w:val="24"/>
          <w:szCs w:val="24"/>
          <w:lang w:val="en-GB" w:eastAsia="pl-PL"/>
        </w:rPr>
      </w:pPr>
    </w:p>
    <w:p w14:paraId="16F6E74D" w14:textId="0E633185" w:rsidR="00BA2F25" w:rsidRPr="00626895" w:rsidRDefault="00B1384D" w:rsidP="00B16085">
      <w:pPr>
        <w:tabs>
          <w:tab w:val="left" w:pos="1790"/>
        </w:tabs>
        <w:spacing w:line="360" w:lineRule="auto"/>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Keywords: infant food, food information provision, food law, consumer protection</w:t>
      </w:r>
      <w:r w:rsidR="00C1119E" w:rsidRPr="00626895">
        <w:rPr>
          <w:rFonts w:ascii="Times New Roman" w:eastAsia="Times New Roman" w:hAnsi="Times New Roman" w:cs="Times New Roman"/>
          <w:sz w:val="24"/>
          <w:szCs w:val="24"/>
          <w:lang w:val="en-GB" w:eastAsia="pl-PL"/>
        </w:rPr>
        <w:tab/>
      </w:r>
    </w:p>
    <w:p w14:paraId="4C70E30A" w14:textId="25E83895" w:rsidR="00BA2F25" w:rsidRPr="00626895" w:rsidRDefault="00561958" w:rsidP="00B16085">
      <w:pPr>
        <w:pStyle w:val="Nagwek1"/>
        <w:ind w:left="357" w:firstLine="0"/>
        <w:rPr>
          <w:lang w:val="en-GB"/>
        </w:rPr>
      </w:pPr>
      <w:r w:rsidRPr="00626895">
        <w:rPr>
          <w:lang w:val="en-GB"/>
        </w:rPr>
        <w:t>Introduction</w:t>
      </w:r>
    </w:p>
    <w:p w14:paraId="4870D78F" w14:textId="365107E5" w:rsidR="00906FDB" w:rsidRPr="00626895" w:rsidRDefault="00DD6A51"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In 2019</w:t>
      </w:r>
      <w:r w:rsidR="005236EC" w:rsidRPr="00626895">
        <w:rPr>
          <w:rFonts w:ascii="Times New Roman" w:eastAsia="Times New Roman" w:hAnsi="Times New Roman" w:cs="Times New Roman"/>
          <w:sz w:val="24"/>
          <w:szCs w:val="24"/>
          <w:lang w:val="en-GB" w:eastAsia="pl-PL"/>
        </w:rPr>
        <w:t>,</w:t>
      </w:r>
      <w:r w:rsidRPr="00626895">
        <w:rPr>
          <w:rFonts w:ascii="Times New Roman" w:eastAsia="Times New Roman" w:hAnsi="Times New Roman" w:cs="Times New Roman"/>
          <w:sz w:val="24"/>
          <w:szCs w:val="24"/>
          <w:lang w:val="en-GB" w:eastAsia="pl-PL"/>
        </w:rPr>
        <w:t xml:space="preserve"> the Regional Office for Europe of the World Health Organization (WHO/Europe) published a technical document entitled </w:t>
      </w:r>
      <w:r w:rsidRPr="00626895">
        <w:rPr>
          <w:rFonts w:ascii="Times New Roman" w:eastAsia="Times New Roman" w:hAnsi="Times New Roman" w:cs="Times New Roman"/>
          <w:i/>
          <w:iCs/>
          <w:sz w:val="24"/>
          <w:szCs w:val="24"/>
          <w:lang w:val="en-GB" w:eastAsia="pl-PL"/>
        </w:rPr>
        <w:t>“Improving the Nutritional Quality of Commercial Foods for Infants and Young Children in the WHO European Region”</w:t>
      </w:r>
      <w:r w:rsidRPr="00626895">
        <w:rPr>
          <w:rFonts w:ascii="Times New Roman" w:eastAsia="Times New Roman" w:hAnsi="Times New Roman" w:cs="Times New Roman"/>
          <w:sz w:val="24"/>
          <w:szCs w:val="24"/>
          <w:lang w:val="en-GB" w:eastAsia="pl-PL"/>
        </w:rPr>
        <w:t xml:space="preserve"> (hereinafter: WHO/Europe Recommendations)</w:t>
      </w:r>
      <w:r w:rsidR="00DD4966" w:rsidRPr="00626895">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2"/>
      </w:r>
      <w:r w:rsidRPr="00626895">
        <w:rPr>
          <w:rFonts w:ascii="Times New Roman" w:eastAsia="Times New Roman" w:hAnsi="Times New Roman" w:cs="Times New Roman"/>
          <w:sz w:val="24"/>
          <w:szCs w:val="24"/>
          <w:lang w:val="en-GB" w:eastAsia="pl-PL"/>
        </w:rPr>
        <w:t xml:space="preserve"> This document is based on two earlier reports that described inappropriate promotional practices concerning food for infants and young children in Europe</w:t>
      </w:r>
      <w:r w:rsidR="00DD4966" w:rsidRPr="00626895">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3"/>
      </w:r>
      <w:r w:rsidRPr="00626895">
        <w:rPr>
          <w:rFonts w:ascii="Times New Roman" w:eastAsia="Times New Roman" w:hAnsi="Times New Roman" w:cs="Times New Roman"/>
          <w:sz w:val="24"/>
          <w:szCs w:val="24"/>
          <w:lang w:val="en-GB" w:eastAsia="pl-PL"/>
        </w:rPr>
        <w:t xml:space="preserve"> One such practice, identified as inconsistent with </w:t>
      </w:r>
      <w:r w:rsidR="006F3712">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WHO’s global recommendations, is the labelling of infant food as suitable from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of life. According to the assessment of the World Health Organization (hereinafter: WHO), exclusive breastfeeding for the first six months of a child's life is the optimal approach and no food should be promoted as suitable for children below this age</w:t>
      </w:r>
      <w:r w:rsidR="00DD4966" w:rsidRPr="00626895">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4"/>
      </w:r>
    </w:p>
    <w:p w14:paraId="5ABEC567" w14:textId="5DA899DB" w:rsidR="00A3059D" w:rsidRPr="00626895" w:rsidRDefault="00A3059D"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The European Union (EU) food law system is regarded as one of the most developed and stringent in the world. </w:t>
      </w:r>
      <w:r w:rsidR="00DD4966" w:rsidRPr="00626895">
        <w:rPr>
          <w:rFonts w:ascii="Times New Roman" w:eastAsia="Times New Roman" w:hAnsi="Times New Roman" w:cs="Times New Roman"/>
          <w:sz w:val="24"/>
          <w:szCs w:val="24"/>
          <w:lang w:val="en-GB" w:eastAsia="pl-PL"/>
        </w:rPr>
        <w:t>Appropriate</w:t>
      </w:r>
      <w:r w:rsidRPr="00626895">
        <w:rPr>
          <w:rFonts w:ascii="Times New Roman" w:eastAsia="Times New Roman" w:hAnsi="Times New Roman" w:cs="Times New Roman"/>
          <w:sz w:val="24"/>
          <w:szCs w:val="24"/>
          <w:lang w:val="en-GB" w:eastAsia="pl-PL"/>
        </w:rPr>
        <w:t xml:space="preserve"> nutrition during infancy and early childhood is essential for ensuring optimal growth and development, as well as for achieving better long-term health outcomes. Although WHO recommendations are not legally binding, they frequently serve as a basis for international and national regulations, including those within the EU, due to their scientific authority and significance in promoting public health. Therefore, the identification</w:t>
      </w:r>
      <w:r w:rsidR="00622748" w:rsidRPr="00626895">
        <w:rPr>
          <w:rFonts w:ascii="Times New Roman" w:eastAsia="Times New Roman" w:hAnsi="Times New Roman" w:cs="Times New Roman"/>
          <w:sz w:val="24"/>
          <w:szCs w:val="24"/>
          <w:lang w:val="en-GB" w:eastAsia="pl-PL"/>
        </w:rPr>
        <w:t xml:space="preserve"> by the WHO Regional Office</w:t>
      </w:r>
      <w:r w:rsidRPr="00626895">
        <w:rPr>
          <w:rFonts w:ascii="Times New Roman" w:eastAsia="Times New Roman" w:hAnsi="Times New Roman" w:cs="Times New Roman"/>
          <w:sz w:val="24"/>
          <w:szCs w:val="24"/>
          <w:lang w:val="en-GB" w:eastAsia="pl-PL"/>
        </w:rPr>
        <w:t xml:space="preserve"> of several critical issues concerning infant and young child food products available on the European market raises the question of the extent to which EU regulations reflect WHO recommendations and whether they adequately address the actual needs of this particularly vulnerable group of consumers.</w:t>
      </w:r>
    </w:p>
    <w:p w14:paraId="3B715D70" w14:textId="76282F80" w:rsidR="00A3059D" w:rsidRPr="00626895" w:rsidRDefault="00A3059D"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hAnsi="Times New Roman" w:cs="Times New Roman"/>
          <w:sz w:val="24"/>
          <w:szCs w:val="24"/>
          <w:lang w:val="en-GB"/>
        </w:rPr>
        <w:lastRenderedPageBreak/>
        <w:t>This article provides a legal analysis of the practice of labelling infant food as suitable from the 4</w:t>
      </w:r>
      <w:r w:rsidRPr="00626895">
        <w:rPr>
          <w:rFonts w:ascii="Times New Roman" w:hAnsi="Times New Roman" w:cs="Times New Roman"/>
          <w:sz w:val="24"/>
          <w:szCs w:val="24"/>
          <w:vertAlign w:val="superscript"/>
          <w:lang w:val="en-GB"/>
        </w:rPr>
        <w:t>th</w:t>
      </w:r>
      <w:r w:rsidRPr="00626895">
        <w:rPr>
          <w:rFonts w:ascii="Times New Roman" w:hAnsi="Times New Roman" w:cs="Times New Roman"/>
          <w:sz w:val="24"/>
          <w:szCs w:val="24"/>
          <w:lang w:val="en-GB"/>
        </w:rPr>
        <w:t xml:space="preserve"> month of life within the framework of EU regulations. The author argues that this practice may raise legitimate concerns</w:t>
      </w:r>
      <w:r w:rsidRPr="00626895">
        <w:rPr>
          <w:rStyle w:val="Odwoanieprzypisudolnego"/>
          <w:rFonts w:ascii="Times New Roman" w:eastAsia="Times New Roman" w:hAnsi="Times New Roman" w:cs="Times New Roman"/>
          <w:sz w:val="24"/>
          <w:szCs w:val="24"/>
          <w:lang w:val="en-GB" w:eastAsia="pl-PL"/>
        </w:rPr>
        <w:footnoteReference w:id="5"/>
      </w:r>
      <w:r w:rsidRPr="00626895">
        <w:rPr>
          <w:rFonts w:ascii="Times New Roman" w:hAnsi="Times New Roman" w:cs="Times New Roman"/>
          <w:sz w:val="24"/>
          <w:szCs w:val="24"/>
          <w:lang w:val="en-GB"/>
        </w:rPr>
        <w:t xml:space="preserve"> under EU food law for at least three reasons:</w:t>
      </w:r>
    </w:p>
    <w:p w14:paraId="376FFD82" w14:textId="6E3BDA43" w:rsidR="00A3059D" w:rsidRPr="00626895" w:rsidRDefault="00622748" w:rsidP="002D0C80">
      <w:pPr>
        <w:pStyle w:val="Akapitzlist"/>
        <w:numPr>
          <w:ilvl w:val="0"/>
          <w:numId w:val="4"/>
        </w:numPr>
        <w:ind w:firstLine="0"/>
        <w:rPr>
          <w:lang w:val="en-GB"/>
        </w:rPr>
      </w:pPr>
      <w:r w:rsidRPr="00626895">
        <w:rPr>
          <w:lang w:val="en-GB"/>
        </w:rPr>
        <w:t>L</w:t>
      </w:r>
      <w:r w:rsidR="00A3059D" w:rsidRPr="00626895">
        <w:rPr>
          <w:lang w:val="en-GB"/>
        </w:rPr>
        <w:t>ack of coherence between various EU food law regulations</w:t>
      </w:r>
      <w:r w:rsidRPr="00626895">
        <w:rPr>
          <w:lang w:val="en-GB"/>
        </w:rPr>
        <w:t>.</w:t>
      </w:r>
    </w:p>
    <w:p w14:paraId="5E5D25B6" w14:textId="4111D07D" w:rsidR="00A3059D" w:rsidRPr="00626895" w:rsidRDefault="00622748" w:rsidP="002D0C80">
      <w:pPr>
        <w:pStyle w:val="Akapitzlist"/>
        <w:numPr>
          <w:ilvl w:val="0"/>
          <w:numId w:val="4"/>
        </w:numPr>
        <w:ind w:firstLine="0"/>
        <w:rPr>
          <w:lang w:val="en-GB"/>
        </w:rPr>
      </w:pPr>
      <w:r w:rsidRPr="00626895">
        <w:rPr>
          <w:lang w:val="en-GB"/>
        </w:rPr>
        <w:t xml:space="preserve">Without </w:t>
      </w:r>
      <w:r w:rsidR="00A3059D" w:rsidRPr="00626895">
        <w:rPr>
          <w:lang w:val="en-GB"/>
        </w:rPr>
        <w:t>additional information on the introduction of complementary feeding before the 6</w:t>
      </w:r>
      <w:r w:rsidR="00A3059D" w:rsidRPr="00626895">
        <w:rPr>
          <w:vertAlign w:val="superscript"/>
          <w:lang w:val="en-GB"/>
        </w:rPr>
        <w:t>th</w:t>
      </w:r>
      <w:r w:rsidR="00A3059D" w:rsidRPr="00626895">
        <w:rPr>
          <w:lang w:val="en-GB"/>
        </w:rPr>
        <w:t xml:space="preserve"> month of life, such labelling may be insufficient in the context of the obligation to provide information enabling the appropriate use of such food</w:t>
      </w:r>
      <w:r w:rsidRPr="00626895">
        <w:rPr>
          <w:lang w:val="en-GB"/>
        </w:rPr>
        <w:t>.</w:t>
      </w:r>
    </w:p>
    <w:p w14:paraId="49FDF626" w14:textId="63781596" w:rsidR="00A3059D" w:rsidRPr="00626895" w:rsidRDefault="00622748" w:rsidP="002D0C80">
      <w:pPr>
        <w:pStyle w:val="Akapitzlist"/>
        <w:numPr>
          <w:ilvl w:val="0"/>
          <w:numId w:val="4"/>
        </w:numPr>
        <w:ind w:firstLine="0"/>
        <w:rPr>
          <w:lang w:val="en-GB"/>
        </w:rPr>
      </w:pPr>
      <w:r w:rsidRPr="00626895">
        <w:rPr>
          <w:lang w:val="en-GB"/>
        </w:rPr>
        <w:t xml:space="preserve">The </w:t>
      </w:r>
      <w:r w:rsidR="00A3059D" w:rsidRPr="00626895">
        <w:rPr>
          <w:lang w:val="en-GB"/>
        </w:rPr>
        <w:t>potential to mislead consumers.</w:t>
      </w:r>
    </w:p>
    <w:p w14:paraId="7C57225D" w14:textId="10E114F4" w:rsidR="001A3238" w:rsidRPr="00626895" w:rsidRDefault="001A3238" w:rsidP="00B16085">
      <w:pPr>
        <w:spacing w:line="360" w:lineRule="auto"/>
        <w:ind w:firstLine="709"/>
        <w:contextualSpacing/>
        <w:jc w:val="both"/>
        <w:rPr>
          <w:rFonts w:ascii="Times New Roman" w:hAnsi="Times New Roman" w:cs="Times New Roman"/>
          <w:sz w:val="24"/>
          <w:szCs w:val="24"/>
          <w:lang w:val="en-GB"/>
        </w:rPr>
      </w:pPr>
      <w:r w:rsidRPr="00626895">
        <w:rPr>
          <w:rFonts w:ascii="Times New Roman" w:hAnsi="Times New Roman" w:cs="Times New Roman"/>
          <w:sz w:val="24"/>
          <w:szCs w:val="24"/>
          <w:lang w:val="en-GB"/>
        </w:rPr>
        <w:t>In the doctrine of food law, it has been repeatedly highlighted that the marketing of unhealthy food targeted at children may constitute a violation of children's rights</w:t>
      </w:r>
      <w:r w:rsidR="00DD4966" w:rsidRPr="00626895">
        <w:rPr>
          <w:rFonts w:ascii="Times New Roman" w:hAnsi="Times New Roman" w:cs="Times New Roman"/>
          <w:sz w:val="24"/>
          <w:szCs w:val="24"/>
          <w:lang w:val="en-GB"/>
        </w:rPr>
        <w:t>.</w:t>
      </w:r>
      <w:r w:rsidRPr="00626895">
        <w:rPr>
          <w:rStyle w:val="Odwoanieprzypisudolnego"/>
          <w:rFonts w:ascii="Times New Roman" w:hAnsi="Times New Roman" w:cs="Times New Roman"/>
          <w:sz w:val="24"/>
          <w:szCs w:val="24"/>
          <w:lang w:val="en-GB"/>
        </w:rPr>
        <w:footnoteReference w:id="6"/>
      </w:r>
      <w:r w:rsidRPr="00626895">
        <w:rPr>
          <w:rFonts w:ascii="Times New Roman" w:hAnsi="Times New Roman" w:cs="Times New Roman"/>
          <w:sz w:val="24"/>
          <w:szCs w:val="24"/>
          <w:lang w:val="en-GB"/>
        </w:rPr>
        <w:t xml:space="preserve"> In this context, it is worth noting that if the practice of labelling infant food as suitable from the 4</w:t>
      </w:r>
      <w:r w:rsidRPr="00626895">
        <w:rPr>
          <w:rFonts w:ascii="Times New Roman" w:hAnsi="Times New Roman" w:cs="Times New Roman"/>
          <w:sz w:val="24"/>
          <w:szCs w:val="24"/>
          <w:vertAlign w:val="superscript"/>
          <w:lang w:val="en-GB"/>
        </w:rPr>
        <w:t>th</w:t>
      </w:r>
      <w:r w:rsidRPr="00626895">
        <w:rPr>
          <w:rFonts w:ascii="Times New Roman" w:hAnsi="Times New Roman" w:cs="Times New Roman"/>
          <w:sz w:val="24"/>
          <w:szCs w:val="24"/>
          <w:lang w:val="en-GB"/>
        </w:rPr>
        <w:t xml:space="preserve"> month of life were deemed misleading, it would also need to be assessed in light of Article 3 of the Convention on the Rights of the Child (CRC)</w:t>
      </w:r>
      <w:r w:rsidR="00622748" w:rsidRPr="00626895">
        <w:rPr>
          <w:rFonts w:ascii="Times New Roman" w:hAnsi="Times New Roman" w:cs="Times New Roman"/>
          <w:sz w:val="24"/>
          <w:szCs w:val="24"/>
          <w:lang w:val="en-GB"/>
        </w:rPr>
        <w:t>,</w:t>
      </w:r>
      <w:r w:rsidRPr="00626895">
        <w:rPr>
          <w:rStyle w:val="Odwoanieprzypisudolnego"/>
          <w:rFonts w:ascii="Times New Roman" w:hAnsi="Times New Roman" w:cs="Times New Roman"/>
          <w:sz w:val="24"/>
          <w:szCs w:val="24"/>
          <w:lang w:val="en-GB"/>
        </w:rPr>
        <w:footnoteReference w:id="7"/>
      </w:r>
      <w:r w:rsidRPr="00626895">
        <w:rPr>
          <w:rFonts w:ascii="Times New Roman" w:hAnsi="Times New Roman" w:cs="Times New Roman"/>
          <w:sz w:val="24"/>
          <w:szCs w:val="24"/>
          <w:lang w:val="en-GB"/>
        </w:rPr>
        <w:t xml:space="preserve"> which establishes the principle of the best interests of the child as a primary consideration. This provision serves as a starting point for examining the compliance of such a practice not only with EU law but also with the axiological framework derived from human rights. It appears evident that all market practices, including the labelling and promotion of infant food, should be based on accurate information and the genuine promotion of healthy child development. Any misleading indication regarding the appropriate timing for the introduction of complementary feeding would therefore be inconsistent with this principle.</w:t>
      </w:r>
    </w:p>
    <w:p w14:paraId="43463210" w14:textId="77686E29" w:rsidR="001A3238" w:rsidRPr="00626895" w:rsidRDefault="001A3238" w:rsidP="00B16085">
      <w:pPr>
        <w:spacing w:line="360" w:lineRule="auto"/>
        <w:ind w:firstLine="709"/>
        <w:contextualSpacing/>
        <w:jc w:val="both"/>
        <w:rPr>
          <w:rFonts w:ascii="Times New Roman" w:hAnsi="Times New Roman" w:cs="Times New Roman"/>
          <w:sz w:val="24"/>
          <w:szCs w:val="24"/>
          <w:lang w:val="en-GB"/>
        </w:rPr>
      </w:pPr>
      <w:r w:rsidRPr="00626895">
        <w:rPr>
          <w:rFonts w:ascii="Times New Roman" w:hAnsi="Times New Roman" w:cs="Times New Roman"/>
          <w:sz w:val="24"/>
          <w:szCs w:val="24"/>
          <w:lang w:val="en-GB"/>
        </w:rPr>
        <w:t xml:space="preserve">Moreover, Article 24(2) CRC is of particular relevance, as it obliges States Parties to ensure the full implementation of the child's right to the highest attainable standard of health. This includes the duty to provide all segments of society, especially parents and children, with access to health education and support concerning infant feeding. If parents—who are the </w:t>
      </w:r>
      <w:r w:rsidRPr="00626895">
        <w:rPr>
          <w:rFonts w:ascii="Times New Roman" w:hAnsi="Times New Roman" w:cs="Times New Roman"/>
          <w:sz w:val="24"/>
          <w:szCs w:val="24"/>
          <w:lang w:val="en-GB"/>
        </w:rPr>
        <w:lastRenderedPageBreak/>
        <w:t>primary decision-makers regarding infant nutrition—receive misleading or incomplete information, this situation may raise concerns regarding compliance with the obligations enshrined in Article 24 CRC. Given that States Parties must ensure appropriate guidance for parents on child nutrition, including the advantages of breastfeeding, any labelling that risks distorting parental choices in favour of premature complementary feeding could be regarded as inconsistent with these international commitments.</w:t>
      </w:r>
    </w:p>
    <w:p w14:paraId="2F5E15EC" w14:textId="24F4D1CF" w:rsidR="00AD6B74" w:rsidRPr="00626895" w:rsidRDefault="00AD6B74"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It is worth emphasising that the research problem addressed in this article is relatively niche and rarely explored in legal doctrine. Even in the case law of the Court of Justice of the European Union (CJEU), no judgments have been identified that explicitly address the regulations concerning food intended for infants and young children in the context of ensuring appropriate information on its use or the potential to mislead consumers. </w:t>
      </w:r>
      <w:r w:rsidR="00622748">
        <w:rPr>
          <w:rFonts w:ascii="Times New Roman" w:eastAsia="Times New Roman" w:hAnsi="Times New Roman" w:cs="Times New Roman"/>
          <w:sz w:val="24"/>
          <w:szCs w:val="24"/>
          <w:lang w:val="en-GB" w:eastAsia="pl-PL"/>
        </w:rPr>
        <w:t>As such</w:t>
      </w:r>
      <w:r w:rsidRPr="00626895">
        <w:rPr>
          <w:rFonts w:ascii="Times New Roman" w:eastAsia="Times New Roman" w:hAnsi="Times New Roman" w:cs="Times New Roman"/>
          <w:sz w:val="24"/>
          <w:szCs w:val="24"/>
          <w:lang w:val="en-GB" w:eastAsia="pl-PL"/>
        </w:rPr>
        <w:t xml:space="preserve">, the legal analysis has been conducted using the formal-dogmatic method, with reference to CJEU case law and legal literature that may be relevant in this context. This approach </w:t>
      </w:r>
      <w:r w:rsidR="006F3712">
        <w:rPr>
          <w:rFonts w:ascii="Times New Roman" w:eastAsia="Times New Roman" w:hAnsi="Times New Roman" w:cs="Times New Roman"/>
          <w:sz w:val="24"/>
          <w:szCs w:val="24"/>
          <w:lang w:val="en-GB" w:eastAsia="pl-PL"/>
        </w:rPr>
        <w:t xml:space="preserve">makes it possible to </w:t>
      </w:r>
      <w:r w:rsidRPr="00626895">
        <w:rPr>
          <w:rFonts w:ascii="Times New Roman" w:eastAsia="Times New Roman" w:hAnsi="Times New Roman" w:cs="Times New Roman"/>
          <w:sz w:val="24"/>
          <w:szCs w:val="24"/>
          <w:lang w:val="en-GB" w:eastAsia="pl-PL"/>
        </w:rPr>
        <w:t>systematic</w:t>
      </w:r>
      <w:r w:rsidR="006F3712">
        <w:rPr>
          <w:rFonts w:ascii="Times New Roman" w:eastAsia="Times New Roman" w:hAnsi="Times New Roman" w:cs="Times New Roman"/>
          <w:sz w:val="24"/>
          <w:szCs w:val="24"/>
          <w:lang w:val="en-GB" w:eastAsia="pl-PL"/>
        </w:rPr>
        <w:t>ally</w:t>
      </w:r>
      <w:r w:rsidRPr="00626895">
        <w:rPr>
          <w:rFonts w:ascii="Times New Roman" w:eastAsia="Times New Roman" w:hAnsi="Times New Roman" w:cs="Times New Roman"/>
          <w:sz w:val="24"/>
          <w:szCs w:val="24"/>
          <w:lang w:val="en-GB" w:eastAsia="pl-PL"/>
        </w:rPr>
        <w:t xml:space="preserve"> </w:t>
      </w:r>
      <w:r w:rsidR="006F3712">
        <w:rPr>
          <w:rFonts w:ascii="Times New Roman" w:eastAsia="Times New Roman" w:hAnsi="Times New Roman" w:cs="Times New Roman"/>
          <w:sz w:val="24"/>
          <w:szCs w:val="24"/>
          <w:lang w:val="en-GB" w:eastAsia="pl-PL"/>
        </w:rPr>
        <w:t xml:space="preserve">examine </w:t>
      </w:r>
      <w:r w:rsidRPr="00626895">
        <w:rPr>
          <w:rFonts w:ascii="Times New Roman" w:eastAsia="Times New Roman" w:hAnsi="Times New Roman" w:cs="Times New Roman"/>
          <w:sz w:val="24"/>
          <w:szCs w:val="24"/>
          <w:lang w:val="en-GB" w:eastAsia="pl-PL"/>
        </w:rPr>
        <w:t>the applicable legal framework, ensuring that the conclusions drawn are grounded in the broader principles and interpretations developed within EU food law and consumer protection jurisprudence.</w:t>
      </w:r>
    </w:p>
    <w:p w14:paraId="175B529D" w14:textId="5B39A55E" w:rsidR="00DE0001" w:rsidRPr="00626895" w:rsidRDefault="00AD6B74" w:rsidP="004046B4">
      <w:pPr>
        <w:pStyle w:val="Nagwek1"/>
        <w:ind w:firstLine="0"/>
        <w:rPr>
          <w:lang w:val="en-GB"/>
        </w:rPr>
      </w:pPr>
      <w:r w:rsidRPr="00626895">
        <w:rPr>
          <w:lang w:val="en-GB"/>
        </w:rPr>
        <w:t>The Position of EFSA and WHO Recommendations</w:t>
      </w:r>
    </w:p>
    <w:p w14:paraId="460D868E" w14:textId="5F21CB36" w:rsidR="00AD6B74" w:rsidRPr="00626895" w:rsidRDefault="00AD6B74"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From the perspective of EU food law, the scientific opinions of the European Food Safety Authority (EFSA) carry greater legal significance than the recommendations of the World Health Organization (WHO). </w:t>
      </w:r>
      <w:r w:rsidR="006F3712">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EFSA provides scientific advice and scientific-technical support concerning EU legislation and policy on food and nutrition</w:t>
      </w:r>
      <w:r w:rsidR="006F3712">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8"/>
      </w:r>
    </w:p>
    <w:p w14:paraId="0FEFC444" w14:textId="2B7095EE" w:rsidR="00AD6B74" w:rsidRPr="00626895" w:rsidRDefault="006F3712"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 xml:space="preserve">The </w:t>
      </w:r>
      <w:r w:rsidR="00AD6B74" w:rsidRPr="00626895">
        <w:rPr>
          <w:rFonts w:ascii="Times New Roman" w:eastAsia="Times New Roman" w:hAnsi="Times New Roman" w:cs="Times New Roman"/>
          <w:sz w:val="24"/>
          <w:szCs w:val="24"/>
          <w:lang w:val="en-GB" w:eastAsia="pl-PL"/>
        </w:rPr>
        <w:t xml:space="preserve">EFSA last addressed the appropriate age for the introduction of complementary feeding in its 2019 revision of a previous 2009 opinion, issued at the request of the European Commission. In this assessment, </w:t>
      </w:r>
      <w:r>
        <w:rPr>
          <w:rFonts w:ascii="Times New Roman" w:eastAsia="Times New Roman" w:hAnsi="Times New Roman" w:cs="Times New Roman"/>
          <w:sz w:val="24"/>
          <w:szCs w:val="24"/>
          <w:lang w:val="en-GB" w:eastAsia="pl-PL"/>
        </w:rPr>
        <w:t xml:space="preserve">the </w:t>
      </w:r>
      <w:r w:rsidR="00AD6B74" w:rsidRPr="00626895">
        <w:rPr>
          <w:rFonts w:ascii="Times New Roman" w:eastAsia="Times New Roman" w:hAnsi="Times New Roman" w:cs="Times New Roman"/>
          <w:sz w:val="24"/>
          <w:szCs w:val="24"/>
          <w:lang w:val="en-GB" w:eastAsia="pl-PL"/>
        </w:rPr>
        <w:t>EFSA concluded that there is no evidence to suggest that the introduction of complementary foods before six months of age is either harmful or beneficial to health</w:t>
      </w:r>
      <w:r>
        <w:rPr>
          <w:rFonts w:ascii="Times New Roman" w:eastAsia="Times New Roman" w:hAnsi="Times New Roman" w:cs="Times New Roman"/>
          <w:sz w:val="24"/>
          <w:szCs w:val="24"/>
          <w:lang w:val="en-GB" w:eastAsia="pl-PL"/>
        </w:rPr>
        <w:t>.</w:t>
      </w:r>
      <w:r w:rsidR="00AD6B74" w:rsidRPr="00626895">
        <w:rPr>
          <w:rStyle w:val="Odwoanieprzypisudolnego"/>
          <w:rFonts w:ascii="Times New Roman" w:hAnsi="Times New Roman" w:cs="Times New Roman"/>
          <w:sz w:val="24"/>
          <w:szCs w:val="24"/>
          <w:lang w:val="en-GB"/>
        </w:rPr>
        <w:footnoteReference w:id="9"/>
      </w:r>
      <w:r w:rsidR="00AD6B74" w:rsidRPr="00626895">
        <w:rPr>
          <w:rFonts w:ascii="Times New Roman" w:eastAsia="Times New Roman" w:hAnsi="Times New Roman" w:cs="Times New Roman"/>
          <w:sz w:val="24"/>
          <w:szCs w:val="24"/>
          <w:lang w:val="en-GB" w:eastAsia="pl-PL"/>
        </w:rPr>
        <w:t xml:space="preserve"> Furthermore, </w:t>
      </w:r>
      <w:r>
        <w:rPr>
          <w:rFonts w:ascii="Times New Roman" w:eastAsia="Times New Roman" w:hAnsi="Times New Roman" w:cs="Times New Roman"/>
          <w:sz w:val="24"/>
          <w:szCs w:val="24"/>
          <w:lang w:val="en-GB" w:eastAsia="pl-PL"/>
        </w:rPr>
        <w:t xml:space="preserve">the </w:t>
      </w:r>
      <w:r w:rsidR="00AD6B74" w:rsidRPr="00626895">
        <w:rPr>
          <w:rFonts w:ascii="Times New Roman" w:eastAsia="Times New Roman" w:hAnsi="Times New Roman" w:cs="Times New Roman"/>
          <w:sz w:val="24"/>
          <w:szCs w:val="24"/>
          <w:lang w:val="en-GB" w:eastAsia="pl-PL"/>
        </w:rPr>
        <w:t xml:space="preserve">EFSA stated that the introduction of complementary feeding </w:t>
      </w:r>
      <w:r w:rsidR="00AD6B74" w:rsidRPr="00626895">
        <w:rPr>
          <w:rFonts w:ascii="Times New Roman" w:eastAsia="Times New Roman" w:hAnsi="Times New Roman" w:cs="Times New Roman"/>
          <w:sz w:val="24"/>
          <w:szCs w:val="24"/>
          <w:lang w:val="en-GB" w:eastAsia="pl-PL"/>
        </w:rPr>
        <w:lastRenderedPageBreak/>
        <w:t>between the 4</w:t>
      </w:r>
      <w:r w:rsidR="00AD6B74" w:rsidRPr="00626895">
        <w:rPr>
          <w:rFonts w:ascii="Times New Roman" w:eastAsia="Times New Roman" w:hAnsi="Times New Roman" w:cs="Times New Roman"/>
          <w:sz w:val="24"/>
          <w:szCs w:val="24"/>
          <w:vertAlign w:val="superscript"/>
          <w:lang w:val="en-GB" w:eastAsia="pl-PL"/>
        </w:rPr>
        <w:t>th</w:t>
      </w:r>
      <w:r w:rsidR="00AD6B74" w:rsidRPr="00626895">
        <w:rPr>
          <w:rFonts w:ascii="Times New Roman" w:eastAsia="Times New Roman" w:hAnsi="Times New Roman" w:cs="Times New Roman"/>
          <w:sz w:val="24"/>
          <w:szCs w:val="24"/>
          <w:lang w:val="en-GB" w:eastAsia="pl-PL"/>
        </w:rPr>
        <w:t xml:space="preserve"> and 6</w:t>
      </w:r>
      <w:r w:rsidR="00AD6B74" w:rsidRPr="00626895">
        <w:rPr>
          <w:rFonts w:ascii="Times New Roman" w:eastAsia="Times New Roman" w:hAnsi="Times New Roman" w:cs="Times New Roman"/>
          <w:sz w:val="24"/>
          <w:szCs w:val="24"/>
          <w:vertAlign w:val="superscript"/>
          <w:lang w:val="en-GB" w:eastAsia="pl-PL"/>
        </w:rPr>
        <w:t>th</w:t>
      </w:r>
      <w:r w:rsidR="00AD6B74" w:rsidRPr="00626895">
        <w:rPr>
          <w:rFonts w:ascii="Times New Roman" w:eastAsia="Times New Roman" w:hAnsi="Times New Roman" w:cs="Times New Roman"/>
          <w:sz w:val="24"/>
          <w:szCs w:val="24"/>
          <w:lang w:val="en-GB" w:eastAsia="pl-PL"/>
        </w:rPr>
        <w:t xml:space="preserve"> month of life may be advisable in certain specific cases, such as preterm birth or low birth weight for gestational age</w:t>
      </w:r>
      <w:r>
        <w:rPr>
          <w:rFonts w:ascii="Times New Roman" w:eastAsia="Times New Roman" w:hAnsi="Times New Roman" w:cs="Times New Roman"/>
          <w:sz w:val="24"/>
          <w:szCs w:val="24"/>
          <w:lang w:val="en-GB" w:eastAsia="pl-PL"/>
        </w:rPr>
        <w:t>.</w:t>
      </w:r>
      <w:r w:rsidR="00AD6B74" w:rsidRPr="00626895">
        <w:rPr>
          <w:rStyle w:val="Odwoanieprzypisudolnego"/>
          <w:rFonts w:ascii="Times New Roman" w:hAnsi="Times New Roman" w:cs="Times New Roman"/>
          <w:sz w:val="24"/>
          <w:szCs w:val="24"/>
          <w:lang w:val="en-GB"/>
        </w:rPr>
        <w:footnoteReference w:id="10"/>
      </w:r>
    </w:p>
    <w:p w14:paraId="7C490D89" w14:textId="5DE4524A" w:rsidR="00AD6B74" w:rsidRPr="00626895" w:rsidRDefault="00AD6B74"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This position creates a divergence between the views of </w:t>
      </w:r>
      <w:r w:rsidR="006F3712">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 xml:space="preserve">EFSA and </w:t>
      </w:r>
      <w:r w:rsidR="006F3712">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 xml:space="preserve">WHO. </w:t>
      </w:r>
      <w:r w:rsidR="006F3712">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 xml:space="preserve">WHO emphasises that complementary feeding should begin only after six months of age, whereas </w:t>
      </w:r>
      <w:r w:rsidR="006F3712">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 xml:space="preserve">EFSA allows for the possibility of </w:t>
      </w:r>
      <w:r w:rsidR="006F3712">
        <w:rPr>
          <w:rFonts w:ascii="Times New Roman" w:eastAsia="Times New Roman" w:hAnsi="Times New Roman" w:cs="Times New Roman"/>
          <w:sz w:val="24"/>
          <w:szCs w:val="24"/>
          <w:lang w:val="en-GB" w:eastAsia="pl-PL"/>
        </w:rPr>
        <w:t xml:space="preserve">its </w:t>
      </w:r>
      <w:r w:rsidRPr="00626895">
        <w:rPr>
          <w:rFonts w:ascii="Times New Roman" w:eastAsia="Times New Roman" w:hAnsi="Times New Roman" w:cs="Times New Roman"/>
          <w:sz w:val="24"/>
          <w:szCs w:val="24"/>
          <w:lang w:val="en-GB" w:eastAsia="pl-PL"/>
        </w:rPr>
        <w:t>earlier introduction</w:t>
      </w:r>
      <w:r w:rsidR="006F3712">
        <w:rPr>
          <w:rFonts w:ascii="Times New Roman" w:eastAsia="Times New Roman" w:hAnsi="Times New Roman" w:cs="Times New Roman"/>
          <w:sz w:val="24"/>
          <w:szCs w:val="24"/>
          <w:lang w:val="en-GB" w:eastAsia="pl-PL"/>
        </w:rPr>
        <w:t xml:space="preserve"> </w:t>
      </w:r>
      <w:r w:rsidR="006F3712" w:rsidRPr="00122010">
        <w:rPr>
          <w:rFonts w:ascii="Times New Roman" w:eastAsia="Times New Roman" w:hAnsi="Times New Roman" w:cs="Times New Roman"/>
          <w:sz w:val="24"/>
          <w:szCs w:val="24"/>
          <w:lang w:val="en-GB" w:eastAsia="pl-PL"/>
        </w:rPr>
        <w:t>(around the 4</w:t>
      </w:r>
      <w:r w:rsidR="006F3712" w:rsidRPr="00122010">
        <w:rPr>
          <w:rFonts w:ascii="Times New Roman" w:eastAsia="Times New Roman" w:hAnsi="Times New Roman" w:cs="Times New Roman"/>
          <w:sz w:val="24"/>
          <w:szCs w:val="24"/>
          <w:vertAlign w:val="superscript"/>
          <w:lang w:val="en-GB" w:eastAsia="pl-PL"/>
        </w:rPr>
        <w:t>th</w:t>
      </w:r>
      <w:r w:rsidR="006F3712" w:rsidRPr="00122010">
        <w:rPr>
          <w:rFonts w:ascii="Times New Roman" w:eastAsia="Times New Roman" w:hAnsi="Times New Roman" w:cs="Times New Roman"/>
          <w:sz w:val="24"/>
          <w:szCs w:val="24"/>
          <w:lang w:val="en-GB" w:eastAsia="pl-PL"/>
        </w:rPr>
        <w:t xml:space="preserve"> month)</w:t>
      </w:r>
      <w:r w:rsidRPr="00626895">
        <w:rPr>
          <w:rFonts w:ascii="Times New Roman" w:eastAsia="Times New Roman" w:hAnsi="Times New Roman" w:cs="Times New Roman"/>
          <w:sz w:val="24"/>
          <w:szCs w:val="24"/>
          <w:lang w:val="en-GB" w:eastAsia="pl-PL"/>
        </w:rPr>
        <w:t>, albeit without actively recommending it.</w:t>
      </w:r>
    </w:p>
    <w:p w14:paraId="199940C0" w14:textId="1B35D387" w:rsidR="00AD6B74" w:rsidRPr="00626895" w:rsidRDefault="00AD6B74"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Given the crucial role of </w:t>
      </w:r>
      <w:r w:rsidR="006F3712">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EFSA in the EU legislative process, this article primarily assess</w:t>
      </w:r>
      <w:r w:rsidR="009327AA">
        <w:rPr>
          <w:rFonts w:ascii="Times New Roman" w:eastAsia="Times New Roman" w:hAnsi="Times New Roman" w:cs="Times New Roman"/>
          <w:sz w:val="24"/>
          <w:szCs w:val="24"/>
          <w:lang w:val="en-GB" w:eastAsia="pl-PL"/>
        </w:rPr>
        <w:t>es</w:t>
      </w:r>
      <w:r w:rsidRPr="00626895">
        <w:rPr>
          <w:rFonts w:ascii="Times New Roman" w:eastAsia="Times New Roman" w:hAnsi="Times New Roman" w:cs="Times New Roman"/>
          <w:sz w:val="24"/>
          <w:szCs w:val="24"/>
          <w:lang w:val="en-GB" w:eastAsia="pl-PL"/>
        </w:rPr>
        <w:t xml:space="preserve"> the consistency of EU regulations with </w:t>
      </w:r>
      <w:r w:rsidR="0039239B">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 xml:space="preserve">EFSA’s position, referring to </w:t>
      </w:r>
      <w:r w:rsidR="0039239B">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WHO’s recommendations only as a supplementary consideration.</w:t>
      </w:r>
    </w:p>
    <w:p w14:paraId="3A0C78A4" w14:textId="54C94D43" w:rsidR="00703E76" w:rsidRPr="00626895" w:rsidRDefault="00795C43" w:rsidP="004046B4">
      <w:pPr>
        <w:pStyle w:val="Nagwek1"/>
        <w:ind w:firstLine="0"/>
        <w:rPr>
          <w:lang w:val="en-GB"/>
        </w:rPr>
      </w:pPr>
      <w:r w:rsidRPr="00626895">
        <w:rPr>
          <w:lang w:val="en-GB"/>
        </w:rPr>
        <w:t>Legal Classification of Labelling Food as Suitable from the 4</w:t>
      </w:r>
      <w:r w:rsidRPr="00626895">
        <w:rPr>
          <w:vertAlign w:val="superscript"/>
          <w:lang w:val="en-GB"/>
        </w:rPr>
        <w:t>th</w:t>
      </w:r>
      <w:r w:rsidRPr="00626895">
        <w:rPr>
          <w:lang w:val="en-GB"/>
        </w:rPr>
        <w:t xml:space="preserve"> Month of Life</w:t>
      </w:r>
    </w:p>
    <w:p w14:paraId="3FF7DA7C" w14:textId="32B37CCF" w:rsidR="00795C43" w:rsidRPr="00626895" w:rsidRDefault="00795C43" w:rsidP="004046B4">
      <w:pPr>
        <w:pStyle w:val="Nagwek2"/>
        <w:ind w:firstLine="0"/>
        <w:rPr>
          <w:lang w:val="en-GB"/>
        </w:rPr>
      </w:pPr>
      <w:r w:rsidRPr="00626895">
        <w:rPr>
          <w:lang w:val="en-GB"/>
        </w:rPr>
        <w:t>The Scope of Infant and Young Child Food under EU Law</w:t>
      </w:r>
    </w:p>
    <w:p w14:paraId="78F8F2F9" w14:textId="0230304F" w:rsidR="00795C43" w:rsidRPr="00626895" w:rsidRDefault="00795C43" w:rsidP="00B16085">
      <w:pPr>
        <w:pStyle w:val="NormalnyWeb"/>
        <w:spacing w:line="360" w:lineRule="auto"/>
        <w:ind w:firstLine="709"/>
        <w:contextualSpacing/>
        <w:jc w:val="both"/>
        <w:rPr>
          <w:lang w:val="en-GB"/>
        </w:rPr>
      </w:pPr>
      <w:r w:rsidRPr="00626895">
        <w:rPr>
          <w:lang w:val="en-GB"/>
        </w:rPr>
        <w:t xml:space="preserve">The </w:t>
      </w:r>
      <w:r w:rsidRPr="00626895">
        <w:rPr>
          <w:rStyle w:val="Pogrubienie"/>
          <w:b w:val="0"/>
          <w:bCs w:val="0"/>
          <w:lang w:val="en-GB"/>
        </w:rPr>
        <w:t>WHO/Europe recommendations</w:t>
      </w:r>
      <w:r w:rsidRPr="00626895">
        <w:rPr>
          <w:lang w:val="en-GB"/>
        </w:rPr>
        <w:t xml:space="preserve"> refer to </w:t>
      </w:r>
      <w:r w:rsidRPr="00626895">
        <w:rPr>
          <w:rStyle w:val="Uwydatnienie"/>
          <w:lang w:val="en-GB"/>
        </w:rPr>
        <w:t>“commercial foods for infants and young children”</w:t>
      </w:r>
      <w:r w:rsidRPr="00626895">
        <w:rPr>
          <w:lang w:val="en-GB"/>
        </w:rPr>
        <w:t xml:space="preserve">, encompassing a broad range of products. Under </w:t>
      </w:r>
      <w:r w:rsidRPr="00626895">
        <w:rPr>
          <w:rStyle w:val="Pogrubienie"/>
          <w:b w:val="0"/>
          <w:bCs w:val="0"/>
          <w:lang w:val="en-GB"/>
        </w:rPr>
        <w:t>EU food law</w:t>
      </w:r>
      <w:r w:rsidRPr="00626895">
        <w:rPr>
          <w:lang w:val="en-GB"/>
        </w:rPr>
        <w:t xml:space="preserve">, the definition of food for infants and young children is set out in </w:t>
      </w:r>
      <w:r w:rsidRPr="00626895">
        <w:rPr>
          <w:rStyle w:val="Pogrubienie"/>
          <w:b w:val="0"/>
          <w:bCs w:val="0"/>
          <w:lang w:val="en-GB"/>
        </w:rPr>
        <w:t>Article 2(1)(f) of Regulation (EU) No 609/2013</w:t>
      </w:r>
      <w:r w:rsidR="006F3712">
        <w:rPr>
          <w:rStyle w:val="Pogrubienie"/>
          <w:b w:val="0"/>
          <w:bCs w:val="0"/>
          <w:lang w:val="en-GB"/>
        </w:rPr>
        <w:t>.</w:t>
      </w:r>
      <w:r w:rsidRPr="00626895">
        <w:rPr>
          <w:rStyle w:val="Odwoanieprzypisudolnego"/>
          <w:lang w:val="en-GB"/>
        </w:rPr>
        <w:footnoteReference w:id="11"/>
      </w:r>
      <w:r w:rsidRPr="00626895">
        <w:rPr>
          <w:lang w:val="en-GB"/>
        </w:rPr>
        <w:t xml:space="preserve"> According to this provision, </w:t>
      </w:r>
      <w:r w:rsidRPr="00626895">
        <w:rPr>
          <w:rStyle w:val="Pogrubienie"/>
          <w:b w:val="0"/>
          <w:bCs w:val="0"/>
          <w:lang w:val="en-GB"/>
        </w:rPr>
        <w:t>food for infants and young children</w:t>
      </w:r>
      <w:r w:rsidRPr="00626895">
        <w:rPr>
          <w:lang w:val="en-GB"/>
        </w:rPr>
        <w:t xml:space="preserve"> is defined as food intended to meet the </w:t>
      </w:r>
      <w:r w:rsidRPr="00626895">
        <w:rPr>
          <w:rStyle w:val="Pogrubienie"/>
          <w:b w:val="0"/>
          <w:bCs w:val="0"/>
          <w:lang w:val="en-GB"/>
        </w:rPr>
        <w:t>specific nutritional needs of healthy infants who are being weaned off breast milk and healthy young children</w:t>
      </w:r>
      <w:r w:rsidRPr="00626895">
        <w:rPr>
          <w:lang w:val="en-GB"/>
        </w:rPr>
        <w:t xml:space="preserve">, consumed </w:t>
      </w:r>
      <w:r w:rsidRPr="00626895">
        <w:rPr>
          <w:rStyle w:val="Pogrubienie"/>
          <w:b w:val="0"/>
          <w:bCs w:val="0"/>
          <w:lang w:val="en-GB"/>
        </w:rPr>
        <w:t>as a supplement to their diet</w:t>
      </w:r>
      <w:r w:rsidRPr="00626895">
        <w:rPr>
          <w:lang w:val="en-GB"/>
        </w:rPr>
        <w:t xml:space="preserve"> or </w:t>
      </w:r>
      <w:r w:rsidRPr="00626895">
        <w:rPr>
          <w:rStyle w:val="Pogrubienie"/>
          <w:b w:val="0"/>
          <w:bCs w:val="0"/>
          <w:lang w:val="en-GB"/>
        </w:rPr>
        <w:t>to progressively accustom them to normal food</w:t>
      </w:r>
      <w:r w:rsidRPr="00626895">
        <w:rPr>
          <w:lang w:val="en-GB"/>
        </w:rPr>
        <w:t xml:space="preserve">, </w:t>
      </w:r>
      <w:r w:rsidRPr="00626895">
        <w:rPr>
          <w:rStyle w:val="Pogrubienie"/>
          <w:b w:val="0"/>
          <w:bCs w:val="0"/>
          <w:lang w:val="en-GB"/>
        </w:rPr>
        <w:t>excluding processed cereal-based foods and milk-based drinks or similar products intended for young children</w:t>
      </w:r>
      <w:r w:rsidRPr="00626895">
        <w:rPr>
          <w:lang w:val="en-GB"/>
        </w:rPr>
        <w:t xml:space="preserve">. The WHO's concept of </w:t>
      </w:r>
      <w:r w:rsidRPr="00626895">
        <w:rPr>
          <w:rStyle w:val="Uwydatnienie"/>
          <w:lang w:val="en-GB"/>
        </w:rPr>
        <w:t>“commercial foods for infants and young children”</w:t>
      </w:r>
      <w:r w:rsidRPr="00626895">
        <w:rPr>
          <w:lang w:val="en-GB"/>
        </w:rPr>
        <w:t xml:space="preserve"> also includes </w:t>
      </w:r>
      <w:r w:rsidRPr="00626895">
        <w:rPr>
          <w:rStyle w:val="Pogrubienie"/>
          <w:b w:val="0"/>
          <w:bCs w:val="0"/>
          <w:lang w:val="en-GB"/>
        </w:rPr>
        <w:t>two categories of food that are explicitly excluded from the EU definition</w:t>
      </w:r>
      <w:r w:rsidRPr="00626895">
        <w:rPr>
          <w:lang w:val="en-GB"/>
        </w:rPr>
        <w:t xml:space="preserve">, namely </w:t>
      </w:r>
      <w:r w:rsidRPr="00626895">
        <w:rPr>
          <w:rStyle w:val="Pogrubienie"/>
          <w:b w:val="0"/>
          <w:bCs w:val="0"/>
          <w:lang w:val="en-GB"/>
        </w:rPr>
        <w:t>processed cereal-based products</w:t>
      </w:r>
      <w:r w:rsidRPr="00626895">
        <w:rPr>
          <w:lang w:val="en-GB"/>
        </w:rPr>
        <w:t xml:space="preserve"> and </w:t>
      </w:r>
      <w:r w:rsidRPr="00626895">
        <w:rPr>
          <w:rStyle w:val="Pogrubienie"/>
          <w:b w:val="0"/>
          <w:bCs w:val="0"/>
          <w:lang w:val="en-GB"/>
        </w:rPr>
        <w:t>milk-based beverages</w:t>
      </w:r>
      <w:r w:rsidRPr="00626895">
        <w:rPr>
          <w:lang w:val="en-GB"/>
        </w:rPr>
        <w:t xml:space="preserve">. It is therefore important to clarify that, for the purposes of this article, the term </w:t>
      </w:r>
      <w:r w:rsidR="009327AA">
        <w:rPr>
          <w:rStyle w:val="Pogrubienie"/>
          <w:b w:val="0"/>
          <w:bCs w:val="0"/>
          <w:lang w:val="en-GB"/>
        </w:rPr>
        <w:t>“</w:t>
      </w:r>
      <w:r w:rsidRPr="00626895">
        <w:rPr>
          <w:rStyle w:val="Pogrubienie"/>
          <w:b w:val="0"/>
          <w:bCs w:val="0"/>
          <w:lang w:val="en-GB"/>
        </w:rPr>
        <w:t>food for infants and young children</w:t>
      </w:r>
      <w:r w:rsidR="009327AA">
        <w:rPr>
          <w:rStyle w:val="Pogrubienie"/>
          <w:b w:val="0"/>
          <w:bCs w:val="0"/>
          <w:lang w:val="en-GB"/>
        </w:rPr>
        <w:t>”</w:t>
      </w:r>
      <w:r w:rsidR="009327AA" w:rsidRPr="00626895">
        <w:rPr>
          <w:lang w:val="en-GB"/>
        </w:rPr>
        <w:t xml:space="preserve"> </w:t>
      </w:r>
      <w:r w:rsidRPr="00626895">
        <w:rPr>
          <w:lang w:val="en-GB"/>
        </w:rPr>
        <w:t>refer</w:t>
      </w:r>
      <w:r w:rsidR="009327AA">
        <w:rPr>
          <w:lang w:val="en-GB"/>
        </w:rPr>
        <w:t>s</w:t>
      </w:r>
      <w:r w:rsidRPr="00626895">
        <w:rPr>
          <w:lang w:val="en-GB"/>
        </w:rPr>
        <w:t xml:space="preserve"> </w:t>
      </w:r>
      <w:r w:rsidRPr="00626895">
        <w:rPr>
          <w:rStyle w:val="Pogrubienie"/>
          <w:b w:val="0"/>
          <w:bCs w:val="0"/>
          <w:lang w:val="en-GB"/>
        </w:rPr>
        <w:t>broadly to all food products intended for infants and young children, regardless of the internal classifications established under EU law</w:t>
      </w:r>
      <w:r w:rsidRPr="00626895">
        <w:rPr>
          <w:lang w:val="en-GB"/>
        </w:rPr>
        <w:t>.</w:t>
      </w:r>
    </w:p>
    <w:p w14:paraId="4FB80140" w14:textId="05EDAD24" w:rsidR="00703E76" w:rsidRPr="00626895" w:rsidRDefault="00795C43" w:rsidP="004046B4">
      <w:pPr>
        <w:pStyle w:val="Nagwek2"/>
        <w:ind w:firstLine="0"/>
        <w:rPr>
          <w:lang w:val="en-GB"/>
        </w:rPr>
      </w:pPr>
      <w:r w:rsidRPr="00626895">
        <w:rPr>
          <w:lang w:val="en-GB"/>
        </w:rPr>
        <w:t>Legal Basis for Providing Food Information</w:t>
      </w:r>
    </w:p>
    <w:p w14:paraId="462E3A57" w14:textId="31CF80DB" w:rsidR="00795C43" w:rsidRPr="00626895" w:rsidRDefault="00795C43"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lastRenderedPageBreak/>
        <w:t>Labelling infant and young child food as suitable from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of life constitutes food information provided to consumers. Pursuant to Article 2(2)(a) of Regulation (EU) No 1169/2011, </w:t>
      </w:r>
      <w:r w:rsidR="001E4D85">
        <w:rPr>
          <w:rFonts w:ascii="Times New Roman" w:eastAsia="Times New Roman" w:hAnsi="Times New Roman" w:cs="Times New Roman"/>
          <w:i/>
          <w:iCs/>
          <w:sz w:val="24"/>
          <w:szCs w:val="24"/>
          <w:lang w:val="en-GB" w:eastAsia="pl-PL"/>
        </w:rPr>
        <w:t>“</w:t>
      </w:r>
      <w:r w:rsidRPr="00626895">
        <w:rPr>
          <w:rFonts w:ascii="Times New Roman" w:eastAsia="Times New Roman" w:hAnsi="Times New Roman" w:cs="Times New Roman"/>
          <w:i/>
          <w:iCs/>
          <w:sz w:val="24"/>
          <w:szCs w:val="24"/>
          <w:lang w:val="en-GB" w:eastAsia="pl-PL"/>
        </w:rPr>
        <w:t>food information</w:t>
      </w:r>
      <w:r w:rsidR="001E4D85">
        <w:rPr>
          <w:rFonts w:ascii="Times New Roman" w:eastAsia="Times New Roman" w:hAnsi="Times New Roman" w:cs="Times New Roman"/>
          <w:i/>
          <w:iCs/>
          <w:sz w:val="24"/>
          <w:szCs w:val="24"/>
          <w:lang w:val="en-GB" w:eastAsia="pl-PL"/>
        </w:rPr>
        <w:t>”</w:t>
      </w:r>
      <w:r w:rsidRPr="00626895">
        <w:rPr>
          <w:rFonts w:ascii="Times New Roman" w:eastAsia="Times New Roman" w:hAnsi="Times New Roman" w:cs="Times New Roman"/>
          <w:sz w:val="24"/>
          <w:szCs w:val="24"/>
          <w:lang w:val="en-GB" w:eastAsia="pl-PL"/>
        </w:rPr>
        <w:t xml:space="preserve"> refers to any information concerning a food product made available to the final consumer through labelling, accompanying materials, or other means, including modern technological tools or verbal communication</w:t>
      </w:r>
      <w:r w:rsidR="001E4D85">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12"/>
      </w:r>
      <w:r w:rsidRPr="00626895">
        <w:rPr>
          <w:rFonts w:ascii="Times New Roman" w:eastAsia="Times New Roman" w:hAnsi="Times New Roman" w:cs="Times New Roman"/>
          <w:sz w:val="24"/>
          <w:szCs w:val="24"/>
          <w:lang w:val="en-GB" w:eastAsia="pl-PL"/>
        </w:rPr>
        <w:t xml:space="preserve"> Consequently, the phrase </w:t>
      </w:r>
      <w:r w:rsidRPr="00626895">
        <w:rPr>
          <w:rFonts w:ascii="Times New Roman" w:eastAsia="Times New Roman" w:hAnsi="Times New Roman" w:cs="Times New Roman"/>
          <w:i/>
          <w:iCs/>
          <w:sz w:val="24"/>
          <w:szCs w:val="24"/>
          <w:lang w:val="en-GB" w:eastAsia="pl-PL"/>
        </w:rPr>
        <w:t>“from the 4</w:t>
      </w:r>
      <w:r w:rsidRPr="00626895">
        <w:rPr>
          <w:rFonts w:ascii="Times New Roman" w:eastAsia="Times New Roman" w:hAnsi="Times New Roman" w:cs="Times New Roman"/>
          <w:i/>
          <w:iCs/>
          <w:sz w:val="24"/>
          <w:szCs w:val="24"/>
          <w:vertAlign w:val="superscript"/>
          <w:lang w:val="en-GB" w:eastAsia="pl-PL"/>
        </w:rPr>
        <w:t>th</w:t>
      </w:r>
      <w:r w:rsidRPr="00626895">
        <w:rPr>
          <w:rFonts w:ascii="Times New Roman" w:eastAsia="Times New Roman" w:hAnsi="Times New Roman" w:cs="Times New Roman"/>
          <w:i/>
          <w:iCs/>
          <w:sz w:val="24"/>
          <w:szCs w:val="24"/>
          <w:lang w:val="en-GB" w:eastAsia="pl-PL"/>
        </w:rPr>
        <w:t xml:space="preserve"> month of life”</w:t>
      </w:r>
      <w:r w:rsidRPr="00626895">
        <w:rPr>
          <w:rFonts w:ascii="Times New Roman" w:eastAsia="Times New Roman" w:hAnsi="Times New Roman" w:cs="Times New Roman"/>
          <w:sz w:val="24"/>
          <w:szCs w:val="24"/>
          <w:lang w:val="en-GB" w:eastAsia="pl-PL"/>
        </w:rPr>
        <w:t xml:space="preserve"> on a label or in advertising falls within the scope of EU food information regulations.</w:t>
      </w:r>
    </w:p>
    <w:p w14:paraId="7680F25F" w14:textId="10978D2F" w:rsidR="00795C43" w:rsidRPr="00626895" w:rsidRDefault="00795C43"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The key legal instrument governing food information in the EU is Regulation (EU) No 1169/2011, which establishes general principles, requirements and responsibilities related to food information, particularly food labelling. This regulation lays down measures to ensure consumers' right to information and sets out procedures for the provision of food information</w:t>
      </w:r>
      <w:r w:rsidR="006D77DD">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13"/>
      </w:r>
    </w:p>
    <w:p w14:paraId="4BDF0D63" w14:textId="77777777" w:rsidR="00795C43" w:rsidRPr="00626895" w:rsidRDefault="00795C43"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In addition to Regulation No 1169/2011, food intended for infants and young children is subject to specific requirements (lex </w:t>
      </w:r>
      <w:proofErr w:type="spellStart"/>
      <w:r w:rsidRPr="00626895">
        <w:rPr>
          <w:rFonts w:ascii="Times New Roman" w:eastAsia="Times New Roman" w:hAnsi="Times New Roman" w:cs="Times New Roman"/>
          <w:sz w:val="24"/>
          <w:szCs w:val="24"/>
          <w:lang w:val="en-GB" w:eastAsia="pl-PL"/>
        </w:rPr>
        <w:t>specialis</w:t>
      </w:r>
      <w:proofErr w:type="spellEnd"/>
      <w:r w:rsidRPr="00626895">
        <w:rPr>
          <w:rFonts w:ascii="Times New Roman" w:eastAsia="Times New Roman" w:hAnsi="Times New Roman" w:cs="Times New Roman"/>
          <w:sz w:val="24"/>
          <w:szCs w:val="24"/>
          <w:lang w:val="en-GB" w:eastAsia="pl-PL"/>
        </w:rPr>
        <w:t>) laid down in:</w:t>
      </w:r>
    </w:p>
    <w:p w14:paraId="471177F0" w14:textId="21100D5C" w:rsidR="00795C43" w:rsidRPr="00626895" w:rsidRDefault="00795C43" w:rsidP="002D0C80">
      <w:pPr>
        <w:numPr>
          <w:ilvl w:val="0"/>
          <w:numId w:val="5"/>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Regulation (EU) No 609/2013</w:t>
      </w:r>
      <w:r w:rsidR="006D1CAF">
        <w:rPr>
          <w:rFonts w:ascii="Times New Roman" w:eastAsia="Times New Roman" w:hAnsi="Times New Roman" w:cs="Times New Roman"/>
          <w:sz w:val="24"/>
          <w:szCs w:val="24"/>
          <w:lang w:val="en-GB" w:eastAsia="pl-PL"/>
        </w:rPr>
        <w:t>,</w:t>
      </w:r>
    </w:p>
    <w:p w14:paraId="04331E63" w14:textId="64179DE9" w:rsidR="00795C43" w:rsidRPr="00626895" w:rsidRDefault="00795C43" w:rsidP="002D0C80">
      <w:pPr>
        <w:numPr>
          <w:ilvl w:val="0"/>
          <w:numId w:val="5"/>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Delegated Regulation (EU) No 2016/127 (adopted under Article 11(1) of Regulation No 609/2013)</w:t>
      </w:r>
      <w:r w:rsidR="006D1CAF">
        <w:rPr>
          <w:rFonts w:ascii="Times New Roman" w:hAnsi="Times New Roman" w:cs="Times New Roman"/>
          <w:sz w:val="24"/>
          <w:szCs w:val="24"/>
          <w:lang w:val="en-GB"/>
        </w:rPr>
        <w:t>,</w:t>
      </w:r>
      <w:r w:rsidRPr="00626895">
        <w:rPr>
          <w:rStyle w:val="Odwoanieprzypisudolnego"/>
          <w:rFonts w:ascii="Times New Roman" w:hAnsi="Times New Roman" w:cs="Times New Roman"/>
          <w:sz w:val="24"/>
          <w:szCs w:val="24"/>
          <w:lang w:val="en-GB"/>
        </w:rPr>
        <w:footnoteReference w:id="14"/>
      </w:r>
      <w:r w:rsidR="006D1CAF">
        <w:rPr>
          <w:rFonts w:ascii="Times New Roman" w:hAnsi="Times New Roman" w:cs="Times New Roman"/>
          <w:sz w:val="24"/>
          <w:szCs w:val="24"/>
          <w:lang w:val="en-GB"/>
        </w:rPr>
        <w:t xml:space="preserve"> and</w:t>
      </w:r>
    </w:p>
    <w:p w14:paraId="38217A88" w14:textId="7911E29C" w:rsidR="00795C43" w:rsidRPr="00626895" w:rsidRDefault="00795C43" w:rsidP="002D0C80">
      <w:pPr>
        <w:numPr>
          <w:ilvl w:val="0"/>
          <w:numId w:val="5"/>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Directive 2006/125/EC</w:t>
      </w:r>
      <w:r w:rsidR="006D77DD">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15"/>
      </w:r>
    </w:p>
    <w:p w14:paraId="77668094" w14:textId="77777777" w:rsidR="00795C43" w:rsidRPr="00626895" w:rsidRDefault="00795C43"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These specialised regulations establish additional rules specific to infant and young child food, supplementing the general framework set by Regulation No 1169/2011.</w:t>
      </w:r>
    </w:p>
    <w:p w14:paraId="7ED1AAEC" w14:textId="3E2F7B40" w:rsidR="00703E76" w:rsidRPr="00626895" w:rsidRDefault="00831C9F" w:rsidP="004046B4">
      <w:pPr>
        <w:pStyle w:val="Nagwek2"/>
        <w:ind w:firstLine="0"/>
        <w:rPr>
          <w:lang w:val="en-GB"/>
        </w:rPr>
      </w:pPr>
      <w:r w:rsidRPr="00626895">
        <w:rPr>
          <w:lang w:val="en-GB"/>
        </w:rPr>
        <w:t>Labelling, Presentation</w:t>
      </w:r>
      <w:r w:rsidR="006D1CAF">
        <w:rPr>
          <w:lang w:val="en-GB"/>
        </w:rPr>
        <w:t xml:space="preserve"> </w:t>
      </w:r>
      <w:r w:rsidRPr="00626895">
        <w:rPr>
          <w:lang w:val="en-GB"/>
        </w:rPr>
        <w:t>and Advertising of Infant and Young Child Food</w:t>
      </w:r>
    </w:p>
    <w:p w14:paraId="19DF8867" w14:textId="3E981467"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The provision of food information to consumers can take various forms. Under EU food law, three key concepts govern how information about food is communicated: labelling, presentation and advertising.</w:t>
      </w:r>
    </w:p>
    <w:p w14:paraId="2F809BC1" w14:textId="77777777"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lastRenderedPageBreak/>
        <w:t xml:space="preserve">The concept of labelling, as defined in Article 2(2)(j) of Regulation (EU) No 1169/2011, refers to </w:t>
      </w:r>
      <w:r w:rsidRPr="00626895">
        <w:rPr>
          <w:rFonts w:ascii="Times New Roman" w:eastAsia="Times New Roman" w:hAnsi="Times New Roman" w:cs="Times New Roman"/>
          <w:i/>
          <w:iCs/>
          <w:sz w:val="24"/>
          <w:szCs w:val="24"/>
          <w:lang w:val="en-GB" w:eastAsia="pl-PL"/>
        </w:rPr>
        <w:t>any words, particulars, trademarks, brand names, pictorial matter, or symbols relating to a food product and placed on any packaging, document, notice, label, tag, or ring accompanying or referring to such food</w:t>
      </w:r>
      <w:r w:rsidRPr="00626895">
        <w:rPr>
          <w:rFonts w:ascii="Times New Roman" w:eastAsia="Times New Roman" w:hAnsi="Times New Roman" w:cs="Times New Roman"/>
          <w:sz w:val="24"/>
          <w:szCs w:val="24"/>
          <w:lang w:val="en-GB" w:eastAsia="pl-PL"/>
        </w:rPr>
        <w:t>.</w:t>
      </w:r>
    </w:p>
    <w:p w14:paraId="73E407C3" w14:textId="6CABF47E"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The concept of presentation is not explicitly defined in EU legislation but generally encompasses such </w:t>
      </w:r>
      <w:r w:rsidR="00960096" w:rsidRPr="00122010">
        <w:rPr>
          <w:rFonts w:ascii="Times New Roman" w:eastAsia="Times New Roman" w:hAnsi="Times New Roman" w:cs="Times New Roman"/>
          <w:sz w:val="24"/>
          <w:szCs w:val="24"/>
          <w:lang w:val="en-GB" w:eastAsia="pl-PL"/>
        </w:rPr>
        <w:t xml:space="preserve">elements </w:t>
      </w:r>
      <w:r w:rsidRPr="00626895">
        <w:rPr>
          <w:rFonts w:ascii="Times New Roman" w:eastAsia="Times New Roman" w:hAnsi="Times New Roman" w:cs="Times New Roman"/>
          <w:sz w:val="24"/>
          <w:szCs w:val="24"/>
          <w:lang w:val="en-GB" w:eastAsia="pl-PL"/>
        </w:rPr>
        <w:t>as the shape, appearance and packaging of a product, as well as the packaging materials used, the arrangement of products and the environment in which they are displayed. This broad interpretation is derived, inter alia, from Article 7(4)(b) of Regulation No 1169/2011.</w:t>
      </w:r>
    </w:p>
    <w:p w14:paraId="0E0ABD14" w14:textId="1BCF64DC"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The concept of advertising, according to Article 2(a) of Directive 2006/114/EC, means </w:t>
      </w:r>
      <w:r w:rsidRPr="00626895">
        <w:rPr>
          <w:rFonts w:ascii="Times New Roman" w:eastAsia="Times New Roman" w:hAnsi="Times New Roman" w:cs="Times New Roman"/>
          <w:i/>
          <w:iCs/>
          <w:sz w:val="24"/>
          <w:szCs w:val="24"/>
          <w:lang w:val="en-GB" w:eastAsia="pl-PL"/>
        </w:rPr>
        <w:t>any form of representation in the course of a trade, business, craft, or profession with the aim of promoting the sale of goods or services</w:t>
      </w:r>
      <w:r w:rsidR="00960096">
        <w:rPr>
          <w:rFonts w:ascii="Times New Roman" w:eastAsia="Times New Roman" w:hAnsi="Times New Roman" w:cs="Times New Roman"/>
          <w:i/>
          <w:iCs/>
          <w:sz w:val="24"/>
          <w:szCs w:val="24"/>
          <w:lang w:val="en-GB" w:eastAsia="pl-PL"/>
        </w:rPr>
        <w:t>.</w:t>
      </w:r>
      <w:r w:rsidRPr="00626895">
        <w:rPr>
          <w:rStyle w:val="Odwoanieprzypisudolnego"/>
          <w:rFonts w:ascii="Times New Roman" w:hAnsi="Times New Roman" w:cs="Times New Roman"/>
          <w:sz w:val="24"/>
          <w:szCs w:val="24"/>
          <w:lang w:val="en-GB"/>
        </w:rPr>
        <w:footnoteReference w:id="16"/>
      </w:r>
    </w:p>
    <w:p w14:paraId="3AAAE06C" w14:textId="53A45C5C"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Information provided to consumers about infant and young child food must comply with general food law requirements on consumer information. Additionally, Article 9 of Regulation (EU) No 609/2013 imposes specific obligations on the labelling, presentation and advertising of infant formula, follow-on formula, processed cereal-based foods and other food products for infants and young children. These obligations require that such information must:</w:t>
      </w:r>
    </w:p>
    <w:p w14:paraId="487058BD" w14:textId="77777777" w:rsidR="00831C9F" w:rsidRPr="00626895" w:rsidRDefault="00831C9F" w:rsidP="002D0C80">
      <w:pPr>
        <w:numPr>
          <w:ilvl w:val="0"/>
          <w:numId w:val="6"/>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Enable the correct use of the food product,</w:t>
      </w:r>
    </w:p>
    <w:p w14:paraId="19092BC5" w14:textId="77777777" w:rsidR="00831C9F" w:rsidRPr="00626895" w:rsidRDefault="00831C9F" w:rsidP="002D0C80">
      <w:pPr>
        <w:numPr>
          <w:ilvl w:val="0"/>
          <w:numId w:val="6"/>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Not mislead consumers,</w:t>
      </w:r>
    </w:p>
    <w:p w14:paraId="0FE0E7A1" w14:textId="77777777" w:rsidR="00831C9F" w:rsidRPr="00626895" w:rsidRDefault="00831C9F" w:rsidP="002D0C80">
      <w:pPr>
        <w:numPr>
          <w:ilvl w:val="0"/>
          <w:numId w:val="6"/>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Not attribute properties to the food relating to the prevention or treatment of disease, nor refer to such properties.</w:t>
      </w:r>
    </w:p>
    <w:p w14:paraId="4222D4C5" w14:textId="637819C0"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These requirements are not exclusive to infant food products. Article 16 of Regulation (EC) No 178/2002 states that </w:t>
      </w:r>
      <w:r w:rsidRPr="00626895">
        <w:rPr>
          <w:rFonts w:ascii="Times New Roman" w:eastAsia="Times New Roman" w:hAnsi="Times New Roman" w:cs="Times New Roman"/>
          <w:i/>
          <w:iCs/>
          <w:sz w:val="24"/>
          <w:szCs w:val="24"/>
          <w:lang w:val="en-GB" w:eastAsia="pl-PL"/>
        </w:rPr>
        <w:t>without prejudice to more specific provisions of food law, the labelling, advertising, and presentation of food or feed, including their shape, appearance, packaging, the materials used, the arrangement and placement of products, and any related information, must not mislead consumers.</w:t>
      </w:r>
      <w:r w:rsidRPr="00626895">
        <w:rPr>
          <w:rFonts w:ascii="Times New Roman" w:eastAsia="Times New Roman" w:hAnsi="Times New Roman" w:cs="Times New Roman"/>
          <w:sz w:val="24"/>
          <w:szCs w:val="24"/>
          <w:lang w:val="en-GB" w:eastAsia="pl-PL"/>
        </w:rPr>
        <w:t xml:space="preserve"> Similar, though not identical, provisions are also found in Regulation (EU) No 1169/2011.</w:t>
      </w:r>
    </w:p>
    <w:p w14:paraId="4D4955C5" w14:textId="77777777"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However, the specific rules of Article 9 of Regulation No 609/2013 highlight the importance of precise and reliable information when it comes to infant and young child food, setting this category apart from other foodstuffs.</w:t>
      </w:r>
    </w:p>
    <w:p w14:paraId="37FA7DC5" w14:textId="77777777"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From the perspective of the discussion on labelling food as suitable from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of life, two key obligations are of particular importance:</w:t>
      </w:r>
    </w:p>
    <w:p w14:paraId="1FB7CD21" w14:textId="12DBE82D" w:rsidR="00831C9F" w:rsidRPr="00626895" w:rsidRDefault="00831C9F" w:rsidP="002D0C80">
      <w:pPr>
        <w:numPr>
          <w:ilvl w:val="0"/>
          <w:numId w:val="7"/>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lastRenderedPageBreak/>
        <w:t xml:space="preserve">Ensuring that the information provided </w:t>
      </w:r>
      <w:r w:rsidR="006D1CAF">
        <w:rPr>
          <w:rFonts w:ascii="Times New Roman" w:eastAsia="Times New Roman" w:hAnsi="Times New Roman" w:cs="Times New Roman"/>
          <w:sz w:val="24"/>
          <w:szCs w:val="24"/>
          <w:lang w:val="en-GB" w:eastAsia="pl-PL"/>
        </w:rPr>
        <w:t xml:space="preserve">enables </w:t>
      </w:r>
      <w:r w:rsidRPr="00626895">
        <w:rPr>
          <w:rFonts w:ascii="Times New Roman" w:eastAsia="Times New Roman" w:hAnsi="Times New Roman" w:cs="Times New Roman"/>
          <w:sz w:val="24"/>
          <w:szCs w:val="24"/>
          <w:lang w:val="en-GB" w:eastAsia="pl-PL"/>
        </w:rPr>
        <w:t>the correct use of the product</w:t>
      </w:r>
      <w:r w:rsidR="006D1CAF">
        <w:rPr>
          <w:rFonts w:ascii="Times New Roman" w:eastAsia="Times New Roman" w:hAnsi="Times New Roman" w:cs="Times New Roman"/>
          <w:sz w:val="24"/>
          <w:szCs w:val="24"/>
          <w:lang w:val="en-GB" w:eastAsia="pl-PL"/>
        </w:rPr>
        <w:t>.</w:t>
      </w:r>
    </w:p>
    <w:p w14:paraId="6945274E" w14:textId="77777777" w:rsidR="00831C9F" w:rsidRPr="00626895" w:rsidRDefault="00831C9F" w:rsidP="002D0C80">
      <w:pPr>
        <w:numPr>
          <w:ilvl w:val="0"/>
          <w:numId w:val="7"/>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Avoiding misleading consumers.</w:t>
      </w:r>
    </w:p>
    <w:p w14:paraId="1D01BDA5" w14:textId="1552810F" w:rsidR="00831C9F" w:rsidRPr="00626895" w:rsidRDefault="00831C9F" w:rsidP="004046B4">
      <w:pPr>
        <w:spacing w:before="100" w:beforeAutospacing="1" w:after="100" w:afterAutospacing="1" w:line="360" w:lineRule="auto"/>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These obligations </w:t>
      </w:r>
      <w:r w:rsidR="009327AA">
        <w:rPr>
          <w:rFonts w:ascii="Times New Roman" w:eastAsia="Times New Roman" w:hAnsi="Times New Roman" w:cs="Times New Roman"/>
          <w:sz w:val="24"/>
          <w:szCs w:val="24"/>
          <w:lang w:val="en-GB" w:eastAsia="pl-PL"/>
        </w:rPr>
        <w:t>are analysed in greater detail</w:t>
      </w:r>
      <w:r w:rsidR="009327AA" w:rsidRPr="00626895">
        <w:rPr>
          <w:rFonts w:ascii="Times New Roman" w:eastAsia="Times New Roman" w:hAnsi="Times New Roman" w:cs="Times New Roman"/>
          <w:sz w:val="24"/>
          <w:szCs w:val="24"/>
          <w:lang w:val="en-GB" w:eastAsia="pl-PL"/>
        </w:rPr>
        <w:t xml:space="preserve"> </w:t>
      </w:r>
      <w:r w:rsidRPr="00626895">
        <w:rPr>
          <w:rFonts w:ascii="Times New Roman" w:eastAsia="Times New Roman" w:hAnsi="Times New Roman" w:cs="Times New Roman"/>
          <w:sz w:val="24"/>
          <w:szCs w:val="24"/>
          <w:lang w:val="en-GB" w:eastAsia="pl-PL"/>
        </w:rPr>
        <w:t>in Sections 4.2 and 4.3.</w:t>
      </w:r>
    </w:p>
    <w:p w14:paraId="10E5AF9C" w14:textId="286E96F6" w:rsidR="00703E76" w:rsidRPr="00626895" w:rsidRDefault="00831C9F" w:rsidP="004046B4">
      <w:pPr>
        <w:pStyle w:val="Nagwek1"/>
        <w:ind w:firstLine="0"/>
        <w:rPr>
          <w:lang w:val="en-GB"/>
        </w:rPr>
      </w:pPr>
      <w:r w:rsidRPr="00626895">
        <w:rPr>
          <w:lang w:val="en-GB"/>
        </w:rPr>
        <w:t>Assessment of the Practice of Labelling Food as Suitable from the 4</w:t>
      </w:r>
      <w:r w:rsidRPr="00626895">
        <w:rPr>
          <w:vertAlign w:val="superscript"/>
          <w:lang w:val="en-GB"/>
        </w:rPr>
        <w:t>th</w:t>
      </w:r>
      <w:r w:rsidRPr="00626895">
        <w:rPr>
          <w:lang w:val="en-GB"/>
        </w:rPr>
        <w:t xml:space="preserve"> Month of Life</w:t>
      </w:r>
    </w:p>
    <w:p w14:paraId="568E9E01" w14:textId="7017CE00" w:rsidR="00703E76" w:rsidRPr="00626895" w:rsidRDefault="00831C9F" w:rsidP="004046B4">
      <w:pPr>
        <w:pStyle w:val="Nagwek2"/>
        <w:ind w:firstLine="0"/>
        <w:rPr>
          <w:lang w:val="en-GB"/>
        </w:rPr>
      </w:pPr>
      <w:r w:rsidRPr="00626895">
        <w:rPr>
          <w:lang w:val="en-GB"/>
        </w:rPr>
        <w:t>Lack of Regulatory Consistency</w:t>
      </w:r>
    </w:p>
    <w:p w14:paraId="5376226E" w14:textId="192DE0F0"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No provision of EU food law explicitly prohibits labelling infant and young child food as suitable for consumption before the age of six months. However, it appears that the EU legislator acknowledges that the introduction of complementary feeding should generally occur only after </w:t>
      </w:r>
      <w:r w:rsidR="00960096">
        <w:rPr>
          <w:rFonts w:ascii="Times New Roman" w:eastAsia="Times New Roman" w:hAnsi="Times New Roman" w:cs="Times New Roman"/>
          <w:sz w:val="24"/>
          <w:szCs w:val="24"/>
          <w:lang w:val="en-GB" w:eastAsia="pl-PL"/>
        </w:rPr>
        <w:t xml:space="preserve">reaching </w:t>
      </w:r>
      <w:r w:rsidRPr="00626895">
        <w:rPr>
          <w:rFonts w:ascii="Times New Roman" w:eastAsia="Times New Roman" w:hAnsi="Times New Roman" w:cs="Times New Roman"/>
          <w:sz w:val="24"/>
          <w:szCs w:val="24"/>
          <w:lang w:val="en-GB" w:eastAsia="pl-PL"/>
        </w:rPr>
        <w:t>six months of age, although this principle is not consistently reflected in legislation.</w:t>
      </w:r>
    </w:p>
    <w:p w14:paraId="7613C082" w14:textId="101B0B6A"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Infant formula is defined as a food intended for infants during the first months of life, which on its own is sufficient to meet their nutritional needs until the introduction of appropriate complementary feeding</w:t>
      </w:r>
      <w:r w:rsidRPr="00626895">
        <w:rPr>
          <w:rStyle w:val="Odwoanieprzypisudolnego"/>
          <w:rFonts w:ascii="Times New Roman" w:hAnsi="Times New Roman" w:cs="Times New Roman"/>
          <w:sz w:val="24"/>
          <w:szCs w:val="24"/>
          <w:lang w:val="en-GB"/>
        </w:rPr>
        <w:footnoteReference w:id="17"/>
      </w:r>
      <w:r w:rsidRPr="00626895">
        <w:rPr>
          <w:rFonts w:ascii="Times New Roman" w:eastAsia="Times New Roman" w:hAnsi="Times New Roman" w:cs="Times New Roman"/>
          <w:sz w:val="24"/>
          <w:szCs w:val="24"/>
          <w:lang w:val="en-GB" w:eastAsia="pl-PL"/>
        </w:rPr>
        <w:t>. By contrast, follow-on formula is intended for infants during the period when complementary feeding is introduced, serving as the primary liquid component of an increasingly diversified diet</w:t>
      </w:r>
      <w:r w:rsidR="00960096">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18"/>
      </w:r>
    </w:p>
    <w:p w14:paraId="6ECD204D" w14:textId="7891AC22"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Regulation (EU) No 609/2013 does not explicitly specify the age at which follow-on formula may be introduced. However, the definitions cited above suggest that </w:t>
      </w:r>
      <w:r w:rsidR="003959B6">
        <w:rPr>
          <w:rFonts w:ascii="Times New Roman" w:eastAsia="Times New Roman" w:hAnsi="Times New Roman" w:cs="Times New Roman"/>
          <w:sz w:val="24"/>
          <w:szCs w:val="24"/>
          <w:lang w:val="en-GB" w:eastAsia="pl-PL"/>
        </w:rPr>
        <w:t xml:space="preserve">such products should not be consumed </w:t>
      </w:r>
      <w:r w:rsidRPr="00626895">
        <w:rPr>
          <w:rFonts w:ascii="Times New Roman" w:eastAsia="Times New Roman" w:hAnsi="Times New Roman" w:cs="Times New Roman"/>
          <w:sz w:val="24"/>
          <w:szCs w:val="24"/>
          <w:lang w:val="en-GB" w:eastAsia="pl-PL"/>
        </w:rPr>
        <w:t>before the introduction of complementary feeding.</w:t>
      </w:r>
    </w:p>
    <w:p w14:paraId="4E5D2B86" w14:textId="77777777"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An important clarification is provided in Delegated Regulation (EU) No 2016/127. According to Article 6(3)(a) of this regulation, in addition to the mandatory particulars listed in Article 9(1) of Regulation No 1169/2011, follow-on formula must bear a statement indicating that:</w:t>
      </w:r>
    </w:p>
    <w:p w14:paraId="675B8FC4" w14:textId="77777777" w:rsidR="00831C9F" w:rsidRPr="00626895" w:rsidRDefault="00831C9F" w:rsidP="002D0C80">
      <w:pPr>
        <w:numPr>
          <w:ilvl w:val="0"/>
          <w:numId w:val="8"/>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The product is suitable only for infants over six months of age;</w:t>
      </w:r>
    </w:p>
    <w:p w14:paraId="3EA7351C" w14:textId="77777777" w:rsidR="00831C9F" w:rsidRPr="00626895" w:rsidRDefault="00831C9F" w:rsidP="002D0C80">
      <w:pPr>
        <w:numPr>
          <w:ilvl w:val="0"/>
          <w:numId w:val="8"/>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The decision to introduce complementary feeding, including any deviation from the six-month guideline, should be made only upon the advice of independent persons with qualifications in medicine, nutrition, or pharmacy, or other professionals responsible for maternal and child care, based on the infant’s specific individual growth and development needs.</w:t>
      </w:r>
    </w:p>
    <w:p w14:paraId="2FAD4405" w14:textId="07859143"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lastRenderedPageBreak/>
        <w:t>Although this requirement applies specifically to follow-on formula, it conveys a</w:t>
      </w:r>
      <w:r w:rsidR="006837E2">
        <w:rPr>
          <w:rFonts w:ascii="Times New Roman" w:eastAsia="Times New Roman" w:hAnsi="Times New Roman" w:cs="Times New Roman"/>
          <w:sz w:val="24"/>
          <w:szCs w:val="24"/>
          <w:lang w:val="en-GB" w:eastAsia="pl-PL"/>
        </w:rPr>
        <w:t> </w:t>
      </w:r>
      <w:r w:rsidRPr="00626895">
        <w:rPr>
          <w:rFonts w:ascii="Times New Roman" w:eastAsia="Times New Roman" w:hAnsi="Times New Roman" w:cs="Times New Roman"/>
          <w:sz w:val="24"/>
          <w:szCs w:val="24"/>
          <w:lang w:val="en-GB" w:eastAsia="pl-PL"/>
        </w:rPr>
        <w:t>general principle that deviations from the six-month threshold should be justified by specific circumstances.</w:t>
      </w:r>
    </w:p>
    <w:p w14:paraId="25174D48" w14:textId="043DB30D"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At the same time, Article 8(1)(a) of Directive 2006/125/EC provides that food intended for infants and young children must indicate the age from which the product may be used, taking into account its composition, consistency and other particular properties. The stated age must not be lower than four months</w:t>
      </w:r>
      <w:r w:rsidR="006D1CAF">
        <w:rPr>
          <w:rFonts w:ascii="Times New Roman" w:eastAsia="Times New Roman" w:hAnsi="Times New Roman" w:cs="Times New Roman"/>
          <w:sz w:val="24"/>
          <w:szCs w:val="24"/>
          <w:lang w:val="en-GB" w:eastAsia="pl-PL"/>
        </w:rPr>
        <w:t xml:space="preserve"> </w:t>
      </w:r>
      <w:r w:rsidRPr="00626895">
        <w:rPr>
          <w:rFonts w:ascii="Times New Roman" w:eastAsia="Times New Roman" w:hAnsi="Times New Roman" w:cs="Times New Roman"/>
          <w:sz w:val="24"/>
          <w:szCs w:val="24"/>
          <w:lang w:val="en-GB" w:eastAsia="pl-PL"/>
        </w:rPr>
        <w:t>and products recommended for use from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of life may state that they are suitable from this age unless independent professionals with medical, nutritional, or pharmaceutical qualifications, or other experts responsible for maternal and child care, advise otherwise.</w:t>
      </w:r>
    </w:p>
    <w:p w14:paraId="3A6D7C54" w14:textId="7D19C3DA"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The formulation of this provision does not seem to fully align with</w:t>
      </w:r>
      <w:r w:rsidR="00AE1B46" w:rsidRPr="00626895">
        <w:rPr>
          <w:rFonts w:ascii="Times New Roman" w:eastAsia="Times New Roman" w:hAnsi="Times New Roman" w:cs="Times New Roman"/>
          <w:sz w:val="24"/>
          <w:szCs w:val="24"/>
          <w:lang w:val="en-GB" w:eastAsia="pl-PL"/>
        </w:rPr>
        <w:t xml:space="preserve"> the</w:t>
      </w:r>
      <w:r w:rsidRPr="00626895">
        <w:rPr>
          <w:rFonts w:ascii="Times New Roman" w:eastAsia="Times New Roman" w:hAnsi="Times New Roman" w:cs="Times New Roman"/>
          <w:sz w:val="24"/>
          <w:szCs w:val="24"/>
          <w:lang w:val="en-GB" w:eastAsia="pl-PL"/>
        </w:rPr>
        <w:t xml:space="preserve"> EFSA’s scientific position. </w:t>
      </w:r>
      <w:r w:rsidR="00125FC9">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EFSA has stated that introducing complementary feeding between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and 6</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of life is generally not harmful and may be recommended in specific cases, such as in infants with low iron levels. In contrast, Article 8(1)(a) of Directive 2006/125/EC takes a more cautious stance, suggesting that the introduction of complementary food from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may be inadvisable. This reflects a conservative regulatory approach, but it does not explicitly address cases where earlier introduction could be beneficial, as recognised by </w:t>
      </w:r>
      <w:r w:rsidR="00125FC9">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EFSA.</w:t>
      </w:r>
    </w:p>
    <w:p w14:paraId="15476EDF" w14:textId="08B01BF4"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More importantly, the provision implies that a statement indicating that a food product is suitable from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of life may be supplemented by a recommendation to seek professional advice. However, the inclusion of this information remains voluntary (</w:t>
      </w:r>
      <w:r w:rsidR="00125FC9">
        <w:rPr>
          <w:rFonts w:ascii="Times New Roman" w:eastAsia="Times New Roman" w:hAnsi="Times New Roman" w:cs="Times New Roman"/>
          <w:i/>
          <w:iCs/>
          <w:sz w:val="24"/>
          <w:szCs w:val="24"/>
          <w:lang w:val="en-GB" w:eastAsia="pl-PL"/>
        </w:rPr>
        <w:t>“</w:t>
      </w:r>
      <w:r w:rsidRPr="00626895">
        <w:rPr>
          <w:rFonts w:ascii="Times New Roman" w:eastAsia="Times New Roman" w:hAnsi="Times New Roman" w:cs="Times New Roman"/>
          <w:i/>
          <w:iCs/>
          <w:sz w:val="24"/>
          <w:szCs w:val="24"/>
          <w:lang w:val="en-GB" w:eastAsia="pl-PL"/>
        </w:rPr>
        <w:t>products […] may state</w:t>
      </w:r>
      <w:r w:rsidR="00125FC9">
        <w:rPr>
          <w:rFonts w:ascii="Times New Roman" w:eastAsia="Times New Roman" w:hAnsi="Times New Roman" w:cs="Times New Roman"/>
          <w:i/>
          <w:iCs/>
          <w:sz w:val="24"/>
          <w:szCs w:val="24"/>
          <w:lang w:val="en-GB" w:eastAsia="pl-PL"/>
        </w:rPr>
        <w:t>”</w:t>
      </w:r>
      <w:r w:rsidR="00125FC9" w:rsidRPr="00626895">
        <w:rPr>
          <w:rFonts w:ascii="Times New Roman" w:eastAsia="Times New Roman" w:hAnsi="Times New Roman" w:cs="Times New Roman"/>
          <w:sz w:val="24"/>
          <w:szCs w:val="24"/>
          <w:lang w:val="en-GB" w:eastAsia="pl-PL"/>
        </w:rPr>
        <w:t xml:space="preserve">), </w:t>
      </w:r>
      <w:r w:rsidRPr="00626895">
        <w:rPr>
          <w:rFonts w:ascii="Times New Roman" w:eastAsia="Times New Roman" w:hAnsi="Times New Roman" w:cs="Times New Roman"/>
          <w:sz w:val="24"/>
          <w:szCs w:val="24"/>
          <w:lang w:val="en-GB" w:eastAsia="pl-PL"/>
        </w:rPr>
        <w:t>raising concerns. Despite highlighting the importance of expert consultation, the lack of a mandatory requirement means that manufacturers may omit this information, which in practice reduces the effectiveness of consumer protection and the application of the precautionary principle in relation to infant nutrition.</w:t>
      </w:r>
    </w:p>
    <w:p w14:paraId="5726EB01" w14:textId="4A203698"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In its current form, the provision raises doubts regarding both the clarity of its objectives and its practical consequences for consumers. Parents may not receive information that fully reflects both the risks and potential benefits of early complementary feeding. The voluntary nature of the recommendation to seek expert advice further weakens consumer protection, </w:t>
      </w:r>
      <w:r w:rsidR="00D06DC6">
        <w:rPr>
          <w:rFonts w:ascii="Times New Roman" w:eastAsia="Times New Roman" w:hAnsi="Times New Roman" w:cs="Times New Roman"/>
          <w:sz w:val="24"/>
          <w:szCs w:val="24"/>
          <w:lang w:val="en-GB" w:eastAsia="pl-PL"/>
        </w:rPr>
        <w:t xml:space="preserve">potentially leaving information </w:t>
      </w:r>
      <w:r w:rsidRPr="00626895">
        <w:rPr>
          <w:rFonts w:ascii="Times New Roman" w:eastAsia="Times New Roman" w:hAnsi="Times New Roman" w:cs="Times New Roman"/>
          <w:sz w:val="24"/>
          <w:szCs w:val="24"/>
          <w:lang w:val="en-GB" w:eastAsia="pl-PL"/>
        </w:rPr>
        <w:t>gaps that could lead to uninformed dietary decisions for infants.</w:t>
      </w:r>
    </w:p>
    <w:p w14:paraId="2EC4C478" w14:textId="7B810C8B" w:rsidR="00831C9F" w:rsidRPr="00626895" w:rsidRDefault="00831C9F" w:rsidP="004046B4">
      <w:pPr>
        <w:pStyle w:val="Nagwek2"/>
        <w:ind w:firstLine="0"/>
        <w:rPr>
          <w:lang w:val="en-GB"/>
        </w:rPr>
      </w:pPr>
      <w:r w:rsidRPr="00626895">
        <w:rPr>
          <w:lang w:val="en-GB"/>
        </w:rPr>
        <w:t xml:space="preserve">Ensuring Information for </w:t>
      </w:r>
      <w:r w:rsidR="00DD4966" w:rsidRPr="00626895">
        <w:rPr>
          <w:lang w:val="en-GB"/>
        </w:rPr>
        <w:t>Appropriate</w:t>
      </w:r>
      <w:r w:rsidRPr="00626895">
        <w:rPr>
          <w:lang w:val="en-GB"/>
        </w:rPr>
        <w:t xml:space="preserve"> Use of the Product </w:t>
      </w:r>
    </w:p>
    <w:p w14:paraId="4DB1FCC5" w14:textId="4F03AD90"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Article 9(5) in conjunction with Article 4(1) of Regulation (EU) No 609/2013 establishes that infant and young child food may only be placed on the market if its labelling, </w:t>
      </w:r>
      <w:r w:rsidRPr="00626895">
        <w:rPr>
          <w:rFonts w:ascii="Times New Roman" w:eastAsia="Times New Roman" w:hAnsi="Times New Roman" w:cs="Times New Roman"/>
          <w:sz w:val="24"/>
          <w:szCs w:val="24"/>
          <w:lang w:val="en-GB" w:eastAsia="pl-PL"/>
        </w:rPr>
        <w:lastRenderedPageBreak/>
        <w:t xml:space="preserve">presentation and advertising provide information enabling its </w:t>
      </w:r>
      <w:r w:rsidR="00DD4966" w:rsidRPr="00626895">
        <w:rPr>
          <w:rFonts w:ascii="Times New Roman" w:eastAsia="Times New Roman" w:hAnsi="Times New Roman" w:cs="Times New Roman"/>
          <w:sz w:val="24"/>
          <w:szCs w:val="24"/>
          <w:lang w:val="en-GB" w:eastAsia="pl-PL"/>
        </w:rPr>
        <w:t>appropriate</w:t>
      </w:r>
      <w:r w:rsidRPr="00626895">
        <w:rPr>
          <w:rFonts w:ascii="Times New Roman" w:eastAsia="Times New Roman" w:hAnsi="Times New Roman" w:cs="Times New Roman"/>
          <w:sz w:val="24"/>
          <w:szCs w:val="24"/>
          <w:lang w:val="en-GB" w:eastAsia="pl-PL"/>
        </w:rPr>
        <w:t xml:space="preserve"> use. According to the Cambridge Dictionary, the term </w:t>
      </w:r>
      <w:r w:rsidRPr="00626895">
        <w:rPr>
          <w:rFonts w:ascii="Times New Roman" w:eastAsia="Times New Roman" w:hAnsi="Times New Roman" w:cs="Times New Roman"/>
          <w:i/>
          <w:iCs/>
          <w:sz w:val="24"/>
          <w:szCs w:val="24"/>
          <w:lang w:val="en-GB" w:eastAsia="pl-PL"/>
        </w:rPr>
        <w:t>“appropriate”</w:t>
      </w:r>
      <w:r w:rsidRPr="00626895">
        <w:rPr>
          <w:rFonts w:ascii="Times New Roman" w:eastAsia="Times New Roman" w:hAnsi="Times New Roman" w:cs="Times New Roman"/>
          <w:sz w:val="24"/>
          <w:szCs w:val="24"/>
          <w:lang w:val="en-GB" w:eastAsia="pl-PL"/>
        </w:rPr>
        <w:t xml:space="preserve"> is </w:t>
      </w:r>
      <w:r w:rsidR="00D06DC6">
        <w:rPr>
          <w:rFonts w:ascii="Times New Roman" w:eastAsia="Times New Roman" w:hAnsi="Times New Roman" w:cs="Times New Roman"/>
          <w:sz w:val="24"/>
          <w:szCs w:val="24"/>
          <w:lang w:val="en-GB" w:eastAsia="pl-PL"/>
        </w:rPr>
        <w:t xml:space="preserve">construed </w:t>
      </w:r>
      <w:r w:rsidRPr="00626895">
        <w:rPr>
          <w:rFonts w:ascii="Times New Roman" w:eastAsia="Times New Roman" w:hAnsi="Times New Roman" w:cs="Times New Roman"/>
          <w:sz w:val="24"/>
          <w:szCs w:val="24"/>
          <w:lang w:val="en-GB" w:eastAsia="pl-PL"/>
        </w:rPr>
        <w:t xml:space="preserve">as </w:t>
      </w:r>
      <w:r w:rsidRPr="00626895">
        <w:rPr>
          <w:rFonts w:ascii="Times New Roman" w:eastAsia="Times New Roman" w:hAnsi="Times New Roman" w:cs="Times New Roman"/>
          <w:i/>
          <w:iCs/>
          <w:sz w:val="24"/>
          <w:szCs w:val="24"/>
          <w:lang w:val="en-GB" w:eastAsia="pl-PL"/>
        </w:rPr>
        <w:t>“suitable or right for a</w:t>
      </w:r>
      <w:r w:rsidR="00D06DC6">
        <w:rPr>
          <w:rFonts w:ascii="Times New Roman" w:eastAsia="Times New Roman" w:hAnsi="Times New Roman" w:cs="Times New Roman"/>
          <w:i/>
          <w:iCs/>
          <w:sz w:val="24"/>
          <w:szCs w:val="24"/>
          <w:lang w:val="en-GB" w:eastAsia="pl-PL"/>
        </w:rPr>
        <w:t> </w:t>
      </w:r>
      <w:r w:rsidRPr="00626895">
        <w:rPr>
          <w:rFonts w:ascii="Times New Roman" w:eastAsia="Times New Roman" w:hAnsi="Times New Roman" w:cs="Times New Roman"/>
          <w:i/>
          <w:iCs/>
          <w:sz w:val="24"/>
          <w:szCs w:val="24"/>
          <w:lang w:val="en-GB" w:eastAsia="pl-PL"/>
        </w:rPr>
        <w:t>particular situation or occasion”</w:t>
      </w:r>
      <w:r w:rsidR="00D06DC6">
        <w:rPr>
          <w:rFonts w:ascii="Times New Roman" w:eastAsia="Times New Roman" w:hAnsi="Times New Roman" w:cs="Times New Roman"/>
          <w:i/>
          <w:iCs/>
          <w:sz w:val="24"/>
          <w:szCs w:val="24"/>
          <w:lang w:val="en-GB" w:eastAsia="pl-PL"/>
        </w:rPr>
        <w:t>.</w:t>
      </w:r>
      <w:r w:rsidRPr="00626895">
        <w:rPr>
          <w:rStyle w:val="Odwoanieprzypisudolnego"/>
          <w:rFonts w:ascii="Times New Roman" w:eastAsia="Times New Roman" w:hAnsi="Times New Roman" w:cs="Times New Roman"/>
          <w:sz w:val="24"/>
          <w:szCs w:val="24"/>
          <w:lang w:val="en-GB" w:eastAsia="pl-PL"/>
        </w:rPr>
        <w:footnoteReference w:id="19"/>
      </w:r>
      <w:r w:rsidRPr="00626895">
        <w:rPr>
          <w:rFonts w:ascii="Times New Roman" w:eastAsia="Times New Roman" w:hAnsi="Times New Roman" w:cs="Times New Roman"/>
          <w:sz w:val="24"/>
          <w:szCs w:val="24"/>
          <w:lang w:val="en-GB" w:eastAsia="pl-PL"/>
        </w:rPr>
        <w:t xml:space="preserve"> This interpretation suggests that consumers should receive comprehensive and clear information, including details on:</w:t>
      </w:r>
    </w:p>
    <w:p w14:paraId="403AEEDA" w14:textId="77777777" w:rsidR="00831C9F" w:rsidRPr="00626895" w:rsidRDefault="00831C9F" w:rsidP="002D0C80">
      <w:pPr>
        <w:numPr>
          <w:ilvl w:val="0"/>
          <w:numId w:val="9"/>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The recommended age for introducing the product,</w:t>
      </w:r>
    </w:p>
    <w:p w14:paraId="2FEA0081" w14:textId="77777777" w:rsidR="00831C9F" w:rsidRPr="00626895" w:rsidRDefault="00831C9F" w:rsidP="002D0C80">
      <w:pPr>
        <w:numPr>
          <w:ilvl w:val="0"/>
          <w:numId w:val="9"/>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The proper method of administration, and</w:t>
      </w:r>
    </w:p>
    <w:p w14:paraId="3F223080" w14:textId="77777777" w:rsidR="00831C9F" w:rsidRPr="00626895" w:rsidRDefault="00831C9F" w:rsidP="002D0C80">
      <w:pPr>
        <w:numPr>
          <w:ilvl w:val="0"/>
          <w:numId w:val="9"/>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Any contraindications or specific medical indications.</w:t>
      </w:r>
    </w:p>
    <w:p w14:paraId="1DAB7DF6" w14:textId="657C00BC" w:rsidR="00831C9F" w:rsidRPr="00626895" w:rsidRDefault="00D06DC6"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Notably,</w:t>
      </w:r>
      <w:r w:rsidR="00831C9F" w:rsidRPr="00626895">
        <w:rPr>
          <w:rFonts w:ascii="Times New Roman" w:eastAsia="Times New Roman" w:hAnsi="Times New Roman" w:cs="Times New Roman"/>
          <w:sz w:val="24"/>
          <w:szCs w:val="24"/>
          <w:lang w:val="en-GB" w:eastAsia="pl-PL"/>
        </w:rPr>
        <w:t xml:space="preserve"> according to </w:t>
      </w:r>
      <w:r>
        <w:rPr>
          <w:rFonts w:ascii="Times New Roman" w:eastAsia="Times New Roman" w:hAnsi="Times New Roman" w:cs="Times New Roman"/>
          <w:sz w:val="24"/>
          <w:szCs w:val="24"/>
          <w:lang w:val="en-GB" w:eastAsia="pl-PL"/>
        </w:rPr>
        <w:t xml:space="preserve">the </w:t>
      </w:r>
      <w:r w:rsidR="00831C9F" w:rsidRPr="00626895">
        <w:rPr>
          <w:rFonts w:ascii="Times New Roman" w:eastAsia="Times New Roman" w:hAnsi="Times New Roman" w:cs="Times New Roman"/>
          <w:sz w:val="24"/>
          <w:szCs w:val="24"/>
          <w:lang w:val="en-GB" w:eastAsia="pl-PL"/>
        </w:rPr>
        <w:t>EFSA’s scientific opinion</w:t>
      </w:r>
      <w:r>
        <w:rPr>
          <w:rFonts w:ascii="Times New Roman" w:eastAsia="Times New Roman" w:hAnsi="Times New Roman" w:cs="Times New Roman"/>
          <w:sz w:val="24"/>
          <w:szCs w:val="24"/>
          <w:lang w:val="en-GB" w:eastAsia="pl-PL"/>
        </w:rPr>
        <w:t>,</w:t>
      </w:r>
      <w:r w:rsidR="00831C9F" w:rsidRPr="00626895">
        <w:rPr>
          <w:rFonts w:ascii="Times New Roman" w:eastAsia="Times New Roman" w:hAnsi="Times New Roman" w:cs="Times New Roman"/>
          <w:sz w:val="24"/>
          <w:szCs w:val="24"/>
          <w:lang w:val="en-GB" w:eastAsia="pl-PL"/>
        </w:rPr>
        <w:t xml:space="preserve"> an infant’s neurological ability to consume new foods before six months of age does not necessarily imply a need to introduce complementary feeding. In other words, while an infant may be “ready” for solid foods earlier, </w:t>
      </w:r>
      <w:r>
        <w:rPr>
          <w:rFonts w:ascii="Times New Roman" w:eastAsia="Times New Roman" w:hAnsi="Times New Roman" w:cs="Times New Roman"/>
          <w:sz w:val="24"/>
          <w:szCs w:val="24"/>
          <w:lang w:val="en-GB" w:eastAsia="pl-PL"/>
        </w:rPr>
        <w:t xml:space="preserve">the </w:t>
      </w:r>
      <w:r w:rsidR="00831C9F" w:rsidRPr="00626895">
        <w:rPr>
          <w:rFonts w:ascii="Times New Roman" w:eastAsia="Times New Roman" w:hAnsi="Times New Roman" w:cs="Times New Roman"/>
          <w:sz w:val="24"/>
          <w:szCs w:val="24"/>
          <w:lang w:val="en-GB" w:eastAsia="pl-PL"/>
        </w:rPr>
        <w:t>EFSA states that this does not automatically justify or recommend earlier complementary feeding. In most cases, such early introduction is neither necessary nor particularly justified, provided that the infant is developing normally and no specific medical indications exist.</w:t>
      </w:r>
    </w:p>
    <w:p w14:paraId="570C0994" w14:textId="7317B543"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Conversely, the sixth month of life is the period from which the introduction of complementary feeding is generally recommended. Under the current regulatory framework, products labelled “from 4 months,” “from 6 months,” and “from 8 months” can all be found on store shelves side by side. Given </w:t>
      </w:r>
      <w:r w:rsidR="00D06DC6">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EFSA’s scientific assessment, the label “from 4 months”—if unaccompanied by additional guidance—may not fulfil the requirement of providing information for</w:t>
      </w:r>
      <w:r w:rsidR="00DD4966" w:rsidRPr="00626895">
        <w:rPr>
          <w:rFonts w:ascii="Times New Roman" w:eastAsia="Times New Roman" w:hAnsi="Times New Roman" w:cs="Times New Roman"/>
          <w:sz w:val="24"/>
          <w:szCs w:val="24"/>
          <w:lang w:val="en-GB" w:eastAsia="pl-PL"/>
        </w:rPr>
        <w:t xml:space="preserve"> </w:t>
      </w:r>
      <w:r w:rsidR="0039239B">
        <w:rPr>
          <w:rFonts w:ascii="Times New Roman" w:eastAsia="Times New Roman" w:hAnsi="Times New Roman" w:cs="Times New Roman"/>
          <w:sz w:val="24"/>
          <w:szCs w:val="24"/>
          <w:lang w:val="en-GB" w:eastAsia="pl-PL"/>
        </w:rPr>
        <w:t xml:space="preserve">the </w:t>
      </w:r>
      <w:r w:rsidR="00DD4966" w:rsidRPr="00626895">
        <w:rPr>
          <w:rFonts w:ascii="Times New Roman" w:eastAsia="Times New Roman" w:hAnsi="Times New Roman" w:cs="Times New Roman"/>
          <w:sz w:val="24"/>
          <w:szCs w:val="24"/>
          <w:lang w:val="en-GB" w:eastAsia="pl-PL"/>
        </w:rPr>
        <w:t>appropriate</w:t>
      </w:r>
      <w:r w:rsidRPr="00626895">
        <w:rPr>
          <w:rFonts w:ascii="Times New Roman" w:eastAsia="Times New Roman" w:hAnsi="Times New Roman" w:cs="Times New Roman"/>
          <w:sz w:val="24"/>
          <w:szCs w:val="24"/>
          <w:lang w:val="en-GB" w:eastAsia="pl-PL"/>
        </w:rPr>
        <w:t xml:space="preserve"> use of the product, as outlined in Article 9 of Regulation No 609/2013.</w:t>
      </w:r>
    </w:p>
    <w:p w14:paraId="03D849FC" w14:textId="77777777"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From a consumer protection perspective, it is essential that labelling and advertising explicitly indicate that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is an exception rather than the standard age for introducing complementary feeding. Infant and young child food labelled “from 4 months” is not entirely equivalent to food labelled “from 6 months” or later stages. Only when such clarification is provided can labelling be considered fully “appropriate”, ensuring that consumers receive accurate and transparent information that enables them to make informed decisions about the product’s use.</w:t>
      </w:r>
    </w:p>
    <w:p w14:paraId="1B9B0C82" w14:textId="77777777"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The absence of such clarifications may lead to a situation in which consumers interpret the 4-month threshold as a rule—or even as an encouragement to introduce complementary feeding earlier.</w:t>
      </w:r>
    </w:p>
    <w:p w14:paraId="5991DB88" w14:textId="54768461"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lastRenderedPageBreak/>
        <w:t xml:space="preserve">In this context, the non-mandatory nature of the advisory statement provided in Article 8(1)(a) of Directive 2006/125/EC remains problematic. If such information is essential for the </w:t>
      </w:r>
      <w:r w:rsidR="00DD4966" w:rsidRPr="00626895">
        <w:rPr>
          <w:rFonts w:ascii="Times New Roman" w:eastAsia="Times New Roman" w:hAnsi="Times New Roman" w:cs="Times New Roman"/>
          <w:sz w:val="24"/>
          <w:szCs w:val="24"/>
          <w:lang w:val="en-GB" w:eastAsia="pl-PL"/>
        </w:rPr>
        <w:t>appropriate</w:t>
      </w:r>
      <w:r w:rsidRPr="00626895">
        <w:rPr>
          <w:rFonts w:ascii="Times New Roman" w:eastAsia="Times New Roman" w:hAnsi="Times New Roman" w:cs="Times New Roman"/>
          <w:sz w:val="24"/>
          <w:szCs w:val="24"/>
          <w:lang w:val="en-GB" w:eastAsia="pl-PL"/>
        </w:rPr>
        <w:t xml:space="preserve"> use of the product, it should be mandatory rather than optional.</w:t>
      </w:r>
    </w:p>
    <w:p w14:paraId="4B9FC453" w14:textId="77777777"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Consumer protection in EU food law is fundamentally based on information obligations. However, legal scholarship has increasingly highlighted the limited effectiveness of such obligations due to factors such as:</w:t>
      </w:r>
    </w:p>
    <w:p w14:paraId="4B3B8EC6" w14:textId="77777777" w:rsidR="00831C9F" w:rsidRPr="00626895" w:rsidRDefault="00831C9F" w:rsidP="002D0C80">
      <w:pPr>
        <w:numPr>
          <w:ilvl w:val="0"/>
          <w:numId w:val="10"/>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Information overload,</w:t>
      </w:r>
    </w:p>
    <w:p w14:paraId="46E12DFA" w14:textId="77777777" w:rsidR="00831C9F" w:rsidRPr="00626895" w:rsidRDefault="00831C9F" w:rsidP="002D0C80">
      <w:pPr>
        <w:numPr>
          <w:ilvl w:val="0"/>
          <w:numId w:val="10"/>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Lack of transparency, and</w:t>
      </w:r>
    </w:p>
    <w:p w14:paraId="47ADA6D0" w14:textId="77777777" w:rsidR="00831C9F" w:rsidRPr="00626895" w:rsidRDefault="00831C9F" w:rsidP="002D0C80">
      <w:pPr>
        <w:numPr>
          <w:ilvl w:val="0"/>
          <w:numId w:val="10"/>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Difficulties in processing information by the average consumer.</w:t>
      </w:r>
    </w:p>
    <w:p w14:paraId="6BE54EFA" w14:textId="53D9ED8C"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In the case of labelling infant food as suitable from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the issue extends beyond mere information overload. Instead, it raises concerns about whether consumers are receiving the essential information required to make informed decisions.</w:t>
      </w:r>
    </w:p>
    <w:p w14:paraId="2E14AC46" w14:textId="77777777" w:rsidR="00831C9F" w:rsidRPr="00626895" w:rsidRDefault="00831C9F"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From a children’s rights perspective, it is crucial to ensure that the earlier introduction of complementary feeding—if it occurs—is driven by genuine health needs rather than misleading marketing practices. The primary consideration should be the child’s best interests, as enshrined in Article 3 of the Convention on the Rights of the Child (CRC), which requires that all actions concerning children—including commercial practices—prioritise their well-being and health.</w:t>
      </w:r>
    </w:p>
    <w:p w14:paraId="1BD1BD3B" w14:textId="6426C9DF" w:rsidR="0001384B" w:rsidRPr="00626895" w:rsidRDefault="00245199" w:rsidP="004046B4">
      <w:pPr>
        <w:pStyle w:val="Nagwek2"/>
        <w:ind w:firstLine="0"/>
        <w:rPr>
          <w:lang w:val="en-GB"/>
        </w:rPr>
      </w:pPr>
      <w:r w:rsidRPr="00626895">
        <w:rPr>
          <w:lang w:val="en-GB"/>
        </w:rPr>
        <w:t>Potential Consumer Misleading</w:t>
      </w:r>
    </w:p>
    <w:p w14:paraId="25CE8644" w14:textId="4F3B44B5"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Misleading consumers </w:t>
      </w:r>
      <w:r w:rsidR="0039239B">
        <w:rPr>
          <w:rFonts w:ascii="Times New Roman" w:eastAsia="Times New Roman" w:hAnsi="Times New Roman" w:cs="Times New Roman"/>
          <w:sz w:val="24"/>
          <w:szCs w:val="24"/>
          <w:lang w:val="en-GB" w:eastAsia="pl-PL"/>
        </w:rPr>
        <w:t xml:space="preserve">is </w:t>
      </w:r>
      <w:r w:rsidRPr="00626895">
        <w:rPr>
          <w:rFonts w:ascii="Times New Roman" w:eastAsia="Times New Roman" w:hAnsi="Times New Roman" w:cs="Times New Roman"/>
          <w:sz w:val="24"/>
          <w:szCs w:val="24"/>
          <w:lang w:val="en-GB" w:eastAsia="pl-PL"/>
        </w:rPr>
        <w:t>a specific category of unfair commercial practices under Article 5(2) of Directive 2005/29/EC</w:t>
      </w:r>
      <w:r w:rsidRPr="00626895">
        <w:rPr>
          <w:rFonts w:ascii="Times New Roman" w:eastAsia="Times New Roman" w:hAnsi="Times New Roman" w:cs="Times New Roman"/>
          <w:sz w:val="24"/>
          <w:szCs w:val="24"/>
          <w:lang w:val="en-GB" w:eastAsia="pl-PL"/>
        </w:rPr>
        <w:footnoteReference w:id="20"/>
      </w:r>
      <w:r w:rsidRPr="00626895">
        <w:rPr>
          <w:rFonts w:ascii="Times New Roman" w:eastAsia="Times New Roman" w:hAnsi="Times New Roman" w:cs="Times New Roman"/>
          <w:sz w:val="24"/>
          <w:szCs w:val="24"/>
          <w:lang w:val="en-GB" w:eastAsia="pl-PL"/>
        </w:rPr>
        <w:t xml:space="preserve">. According to this provision, a commercial practice is considered unfair if it contravenes the requirements of professional diligence and materially distorts or is likely to materially distort the economic behaviour of the average consumer </w:t>
      </w:r>
      <w:r w:rsidR="0039239B">
        <w:rPr>
          <w:rFonts w:ascii="Times New Roman" w:eastAsia="Times New Roman" w:hAnsi="Times New Roman" w:cs="Times New Roman"/>
          <w:sz w:val="24"/>
          <w:szCs w:val="24"/>
          <w:lang w:val="en-GB" w:eastAsia="pl-PL"/>
        </w:rPr>
        <w:t xml:space="preserve">to </w:t>
      </w:r>
      <w:r w:rsidRPr="00626895">
        <w:rPr>
          <w:rFonts w:ascii="Times New Roman" w:eastAsia="Times New Roman" w:hAnsi="Times New Roman" w:cs="Times New Roman"/>
          <w:sz w:val="24"/>
          <w:szCs w:val="24"/>
          <w:lang w:val="en-GB" w:eastAsia="pl-PL"/>
        </w:rPr>
        <w:t>whom it reaches or is directed. If a commercial practice is targeted at a specific group of consumers, its fairness must be assessed in relation to the average member of that group.</w:t>
      </w:r>
    </w:p>
    <w:p w14:paraId="7F019FAA" w14:textId="1ACE6CB8"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The Court of Justice of the European Union (CJEU) has emphasised that unfair commercial practices </w:t>
      </w:r>
      <w:r w:rsidRPr="00626895">
        <w:rPr>
          <w:rFonts w:ascii="Times New Roman" w:eastAsia="Times New Roman" w:hAnsi="Times New Roman" w:cs="Times New Roman"/>
          <w:i/>
          <w:iCs/>
          <w:sz w:val="24"/>
          <w:szCs w:val="24"/>
          <w:lang w:val="en-GB" w:eastAsia="pl-PL"/>
        </w:rPr>
        <w:t xml:space="preserve">must encompass all elements that contribute to their unfair nature, </w:t>
      </w:r>
      <w:r w:rsidRPr="00626895">
        <w:rPr>
          <w:rFonts w:ascii="Times New Roman" w:eastAsia="Times New Roman" w:hAnsi="Times New Roman" w:cs="Times New Roman"/>
          <w:i/>
          <w:iCs/>
          <w:sz w:val="24"/>
          <w:szCs w:val="24"/>
          <w:lang w:val="en-GB" w:eastAsia="pl-PL"/>
        </w:rPr>
        <w:lastRenderedPageBreak/>
        <w:t>particularly those that may significantly distort consumer behaviour, leading them to make a</w:t>
      </w:r>
      <w:r w:rsidR="0052543E">
        <w:rPr>
          <w:rFonts w:ascii="Times New Roman" w:eastAsia="Times New Roman" w:hAnsi="Times New Roman" w:cs="Times New Roman"/>
          <w:i/>
          <w:iCs/>
          <w:sz w:val="24"/>
          <w:szCs w:val="24"/>
          <w:lang w:val="en-GB" w:eastAsia="pl-PL"/>
        </w:rPr>
        <w:t> </w:t>
      </w:r>
      <w:r w:rsidRPr="00626895">
        <w:rPr>
          <w:rFonts w:ascii="Times New Roman" w:eastAsia="Times New Roman" w:hAnsi="Times New Roman" w:cs="Times New Roman"/>
          <w:i/>
          <w:iCs/>
          <w:sz w:val="24"/>
          <w:szCs w:val="24"/>
          <w:lang w:val="en-GB" w:eastAsia="pl-PL"/>
        </w:rPr>
        <w:t>transactional decision they would not have otherwise made</w:t>
      </w:r>
      <w:r w:rsidR="0052543E">
        <w:rPr>
          <w:rFonts w:ascii="Times New Roman" w:eastAsia="Times New Roman" w:hAnsi="Times New Roman" w:cs="Times New Roman"/>
          <w:i/>
          <w:iCs/>
          <w:sz w:val="24"/>
          <w:szCs w:val="24"/>
          <w:lang w:val="en-GB" w:eastAsia="pl-PL"/>
        </w:rPr>
        <w:t>.</w:t>
      </w:r>
      <w:r w:rsidRPr="00626895">
        <w:rPr>
          <w:rStyle w:val="Odwoanieprzypisudolnego"/>
          <w:rFonts w:ascii="Times New Roman" w:hAnsi="Times New Roman" w:cs="Times New Roman"/>
          <w:sz w:val="24"/>
          <w:szCs w:val="24"/>
          <w:lang w:val="en-GB"/>
        </w:rPr>
        <w:footnoteReference w:id="21"/>
      </w:r>
    </w:p>
    <w:p w14:paraId="7C57291A"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As Anna Tischner points out, determining whether a market practice is misleading or aggressive requires assessing the perception of the average consumer, which can be done in two ways:</w:t>
      </w:r>
    </w:p>
    <w:p w14:paraId="36D0BD76" w14:textId="77777777" w:rsidR="00245199" w:rsidRPr="00626895" w:rsidRDefault="00245199" w:rsidP="002D0C80">
      <w:pPr>
        <w:numPr>
          <w:ilvl w:val="0"/>
          <w:numId w:val="11"/>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Empirical assessment, using consumer research such as surveys and statistical sampling, or</w:t>
      </w:r>
    </w:p>
    <w:p w14:paraId="01012AD1" w14:textId="7C2D9CD7" w:rsidR="00245199" w:rsidRPr="00626895" w:rsidRDefault="00245199" w:rsidP="002D0C80">
      <w:pPr>
        <w:numPr>
          <w:ilvl w:val="0"/>
          <w:numId w:val="11"/>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Normative (theoretical) assessment, which takes into account the objectives of regulation and evaluates the practice based on teleological, functional, economic, and policy factors</w:t>
      </w:r>
      <w:r w:rsidR="004C6585">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22"/>
      </w:r>
    </w:p>
    <w:p w14:paraId="7F34270B" w14:textId="309CC1B1"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EU law does not provide a uniform definition of the </w:t>
      </w:r>
      <w:r w:rsidR="004C6585">
        <w:rPr>
          <w:rFonts w:ascii="Times New Roman" w:eastAsia="Times New Roman" w:hAnsi="Times New Roman" w:cs="Times New Roman"/>
          <w:i/>
          <w:iCs/>
          <w:sz w:val="24"/>
          <w:szCs w:val="24"/>
          <w:lang w:val="en-GB" w:eastAsia="pl-PL"/>
        </w:rPr>
        <w:t>“</w:t>
      </w:r>
      <w:r w:rsidRPr="00626895">
        <w:rPr>
          <w:rFonts w:ascii="Times New Roman" w:eastAsia="Times New Roman" w:hAnsi="Times New Roman" w:cs="Times New Roman"/>
          <w:i/>
          <w:iCs/>
          <w:sz w:val="24"/>
          <w:szCs w:val="24"/>
          <w:lang w:val="en-GB" w:eastAsia="pl-PL"/>
        </w:rPr>
        <w:t>average consumer</w:t>
      </w:r>
      <w:r w:rsidR="004C6585">
        <w:rPr>
          <w:rFonts w:ascii="Times New Roman" w:eastAsia="Times New Roman" w:hAnsi="Times New Roman" w:cs="Times New Roman"/>
          <w:i/>
          <w:iCs/>
          <w:sz w:val="24"/>
          <w:szCs w:val="24"/>
          <w:lang w:val="en-GB" w:eastAsia="pl-PL"/>
        </w:rPr>
        <w:t>”</w:t>
      </w:r>
      <w:r w:rsidR="004C6585" w:rsidRPr="00626895">
        <w:rPr>
          <w:rFonts w:ascii="Times New Roman" w:eastAsia="Times New Roman" w:hAnsi="Times New Roman" w:cs="Times New Roman"/>
          <w:sz w:val="24"/>
          <w:szCs w:val="24"/>
          <w:lang w:val="en-GB" w:eastAsia="pl-PL"/>
        </w:rPr>
        <w:t>.</w:t>
      </w:r>
      <w:r w:rsidRPr="00626895">
        <w:rPr>
          <w:rFonts w:ascii="Times New Roman" w:eastAsia="Times New Roman" w:hAnsi="Times New Roman" w:cs="Times New Roman"/>
          <w:sz w:val="24"/>
          <w:szCs w:val="24"/>
          <w:lang w:val="en-GB" w:eastAsia="pl-PL"/>
        </w:rPr>
        <w:t xml:space="preserve"> </w:t>
      </w:r>
      <w:r w:rsidR="004C6585">
        <w:rPr>
          <w:rFonts w:ascii="Times New Roman" w:eastAsia="Times New Roman" w:hAnsi="Times New Roman" w:cs="Times New Roman"/>
          <w:sz w:val="24"/>
          <w:szCs w:val="24"/>
          <w:lang w:val="en-GB" w:eastAsia="pl-PL"/>
        </w:rPr>
        <w:t>I</w:t>
      </w:r>
      <w:r w:rsidRPr="00626895">
        <w:rPr>
          <w:rFonts w:ascii="Times New Roman" w:eastAsia="Times New Roman" w:hAnsi="Times New Roman" w:cs="Times New Roman"/>
          <w:sz w:val="24"/>
          <w:szCs w:val="24"/>
          <w:lang w:val="en-GB" w:eastAsia="pl-PL"/>
        </w:rPr>
        <w:t xml:space="preserve">t </w:t>
      </w:r>
      <w:r w:rsidR="004C6585">
        <w:rPr>
          <w:rFonts w:ascii="Times New Roman" w:eastAsia="Times New Roman" w:hAnsi="Times New Roman" w:cs="Times New Roman"/>
          <w:sz w:val="24"/>
          <w:szCs w:val="24"/>
          <w:lang w:val="en-GB" w:eastAsia="pl-PL"/>
        </w:rPr>
        <w:t xml:space="preserve">does, however, </w:t>
      </w:r>
      <w:r w:rsidRPr="00626895">
        <w:rPr>
          <w:rFonts w:ascii="Times New Roman" w:eastAsia="Times New Roman" w:hAnsi="Times New Roman" w:cs="Times New Roman"/>
          <w:sz w:val="24"/>
          <w:szCs w:val="24"/>
          <w:lang w:val="en-GB" w:eastAsia="pl-PL"/>
        </w:rPr>
        <w:t>assume that an average consumer is:</w:t>
      </w:r>
    </w:p>
    <w:p w14:paraId="0ECAD4FC" w14:textId="77777777" w:rsidR="00245199" w:rsidRPr="00626895" w:rsidRDefault="00245199" w:rsidP="002D0C80">
      <w:pPr>
        <w:numPr>
          <w:ilvl w:val="0"/>
          <w:numId w:val="12"/>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Sufficiently well-informed,</w:t>
      </w:r>
    </w:p>
    <w:p w14:paraId="16598CB5" w14:textId="77777777" w:rsidR="00245199" w:rsidRPr="00626895" w:rsidRDefault="00245199" w:rsidP="002D0C80">
      <w:pPr>
        <w:numPr>
          <w:ilvl w:val="0"/>
          <w:numId w:val="12"/>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Reasonably observant, and</w:t>
      </w:r>
    </w:p>
    <w:p w14:paraId="0477C856" w14:textId="08BF6923" w:rsidR="00245199" w:rsidRPr="00626895" w:rsidRDefault="00245199" w:rsidP="002D0C80">
      <w:pPr>
        <w:numPr>
          <w:ilvl w:val="0"/>
          <w:numId w:val="12"/>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Cautious</w:t>
      </w:r>
      <w:r w:rsidR="004C6585">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23"/>
      </w:r>
    </w:p>
    <w:p w14:paraId="024D30C9" w14:textId="2DA512DF"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Each of these characteristics has distinct implications:</w:t>
      </w:r>
    </w:p>
    <w:p w14:paraId="66554291" w14:textId="77777777" w:rsidR="00245199" w:rsidRPr="00626895" w:rsidRDefault="00245199" w:rsidP="002D0C80">
      <w:pPr>
        <w:numPr>
          <w:ilvl w:val="0"/>
          <w:numId w:val="13"/>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Being well-informed refers to a presumed level of knowledge,</w:t>
      </w:r>
    </w:p>
    <w:p w14:paraId="6FE7B3AE" w14:textId="77777777" w:rsidR="00245199" w:rsidRPr="00626895" w:rsidRDefault="00245199" w:rsidP="002D0C80">
      <w:pPr>
        <w:numPr>
          <w:ilvl w:val="0"/>
          <w:numId w:val="13"/>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Being observant relates to attentiveness and information processing, and</w:t>
      </w:r>
    </w:p>
    <w:p w14:paraId="26E5067C" w14:textId="32312248" w:rsidR="00245199" w:rsidRPr="00626895" w:rsidRDefault="00245199" w:rsidP="002D0C80">
      <w:pPr>
        <w:numPr>
          <w:ilvl w:val="0"/>
          <w:numId w:val="13"/>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Being cautious refers to a critical approach to marketing claims</w:t>
      </w:r>
      <w:r w:rsidR="004C6585">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24"/>
      </w:r>
    </w:p>
    <w:p w14:paraId="3625650E"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Misleading commercial practices can take two main forms:</w:t>
      </w:r>
    </w:p>
    <w:p w14:paraId="53A2A3A0" w14:textId="77777777" w:rsidR="00245199" w:rsidRPr="00626895" w:rsidRDefault="00245199" w:rsidP="002D0C80">
      <w:pPr>
        <w:numPr>
          <w:ilvl w:val="0"/>
          <w:numId w:val="14"/>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Misleading actions, and</w:t>
      </w:r>
    </w:p>
    <w:p w14:paraId="216C0D4A" w14:textId="77777777" w:rsidR="00245199" w:rsidRPr="00626895" w:rsidRDefault="00245199" w:rsidP="002D0C80">
      <w:pPr>
        <w:numPr>
          <w:ilvl w:val="0"/>
          <w:numId w:val="14"/>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Misleading omissions.</w:t>
      </w:r>
    </w:p>
    <w:p w14:paraId="49469365"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According to Article 6(1)(b) of Directive 2005/29/EC, a commercial practice is considered misleading by action if it contains false information or, even if factually correct, deceives or is likely to deceive the average consumer by its overall presentation, particularly in relation to essential product attributes such as benefits, risks, or methods of use. This applies </w:t>
      </w:r>
      <w:r w:rsidRPr="00626895">
        <w:rPr>
          <w:rFonts w:ascii="Times New Roman" w:eastAsia="Times New Roman" w:hAnsi="Times New Roman" w:cs="Times New Roman"/>
          <w:sz w:val="24"/>
          <w:szCs w:val="24"/>
          <w:lang w:val="en-GB" w:eastAsia="pl-PL"/>
        </w:rPr>
        <w:lastRenderedPageBreak/>
        <w:t>even if the information is factually accurate but could lead the consumer to make a transactional decision they would not have otherwise made.</w:t>
      </w:r>
    </w:p>
    <w:p w14:paraId="3391566B"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Additionally, Article 7(1) of Directive 2005/29/EC states that a commercial practice is misleading by omission if it fails to provide essential information that the average consumer needs to make an informed transactional decision. As a result, this omission may cause the consumer to make a decision they would not have otherwise made.</w:t>
      </w:r>
    </w:p>
    <w:p w14:paraId="31CCB7CA" w14:textId="7FC32729"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Crucially, labelling, presentation and advertising do not need to contain false information to be misleading. Even objectively true statements can mislead consumers if presented in a way that creates a false impression</w:t>
      </w:r>
      <w:r w:rsidR="007B7300">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25"/>
      </w:r>
    </w:p>
    <w:p w14:paraId="15B399C6" w14:textId="62F59615"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For example, in food law doctrine, it has been observed that claims such as </w:t>
      </w:r>
      <w:r w:rsidR="007B7300">
        <w:rPr>
          <w:rFonts w:ascii="Times New Roman" w:eastAsia="Times New Roman" w:hAnsi="Times New Roman" w:cs="Times New Roman"/>
          <w:sz w:val="24"/>
          <w:szCs w:val="24"/>
          <w:lang w:val="en-GB" w:eastAsia="pl-PL"/>
        </w:rPr>
        <w:t>“</w:t>
      </w:r>
      <w:r w:rsidRPr="00626895">
        <w:rPr>
          <w:rFonts w:ascii="Times New Roman" w:eastAsia="Times New Roman" w:hAnsi="Times New Roman" w:cs="Times New Roman"/>
          <w:sz w:val="24"/>
          <w:szCs w:val="24"/>
          <w:lang w:val="en-GB" w:eastAsia="pl-PL"/>
        </w:rPr>
        <w:t>no added sugar</w:t>
      </w:r>
      <w:r w:rsidR="007B7300">
        <w:rPr>
          <w:rFonts w:ascii="Times New Roman" w:eastAsia="Times New Roman" w:hAnsi="Times New Roman" w:cs="Times New Roman"/>
          <w:sz w:val="24"/>
          <w:szCs w:val="24"/>
          <w:lang w:val="en-GB" w:eastAsia="pl-PL"/>
        </w:rPr>
        <w:t>”</w:t>
      </w:r>
      <w:r w:rsidRPr="00626895">
        <w:rPr>
          <w:rFonts w:ascii="Times New Roman" w:eastAsia="Times New Roman" w:hAnsi="Times New Roman" w:cs="Times New Roman"/>
          <w:sz w:val="24"/>
          <w:szCs w:val="24"/>
          <w:lang w:val="en-GB" w:eastAsia="pl-PL"/>
        </w:rPr>
        <w:t xml:space="preserve"> may be literally true. However, if consumers interpret this as an indication that the product is naturally sweet (when in reality, the sweetness comes from artificial sweeteners), they may be misled, even though the product's ingredient list formally complies with labelling regulations.</w:t>
      </w:r>
    </w:p>
    <w:p w14:paraId="261F0F28"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A similar risk exists with the label “from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of life” on infant food. While technically true in the sense that introducing complementary feeding at this stage is generally not harmful, it may lead consumers to believe that starting complementary feeding at four months is the standard recommendation.</w:t>
      </w:r>
    </w:p>
    <w:p w14:paraId="10953D49" w14:textId="2A341619"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This risk is further heightened by misleading product presentation, particularly in retail settings. The placement of products on store shelves—for example, grouping products labelled “from 4 months,” “from 6 months,” and “from 8 months” together—may reinforce a misleading interpretation. Consumers may perceive the 4-month indication as equally valid as the 6-month recommendation, despite </w:t>
      </w:r>
      <w:r w:rsidR="007B7300">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EFSA’s position that complementary feeding before 6 months should only occur in specific circumstances.</w:t>
      </w:r>
    </w:p>
    <w:p w14:paraId="485CE57F"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Such a presentation could not only normalise early complementary feeding but even encourage parents to introduce it earlier than generally recommended, thereby influencing consumer behaviour in a way that does not align with established public health guidance.</w:t>
      </w:r>
    </w:p>
    <w:p w14:paraId="5BEDB4E2" w14:textId="0F4E13D0" w:rsidR="00703E76" w:rsidRPr="00626895" w:rsidRDefault="00245199" w:rsidP="004046B4">
      <w:pPr>
        <w:pStyle w:val="Nagwek1"/>
        <w:ind w:firstLine="0"/>
        <w:rPr>
          <w:lang w:val="en-GB"/>
        </w:rPr>
      </w:pPr>
      <w:r w:rsidRPr="00626895">
        <w:rPr>
          <w:lang w:val="en-GB"/>
        </w:rPr>
        <w:t>Discussion and Summary</w:t>
      </w:r>
    </w:p>
    <w:p w14:paraId="272A8CA5"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The analysis conducted in this article confirms the validity of concerns raised in preliminary research regarding the labelling of infant and young child food as suitable from the </w:t>
      </w:r>
      <w:r w:rsidRPr="00626895">
        <w:rPr>
          <w:rFonts w:ascii="Times New Roman" w:eastAsia="Times New Roman" w:hAnsi="Times New Roman" w:cs="Times New Roman"/>
          <w:sz w:val="24"/>
          <w:szCs w:val="24"/>
          <w:lang w:val="en-GB" w:eastAsia="pl-PL"/>
        </w:rPr>
        <w:lastRenderedPageBreak/>
        <w:t>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of life. The status quo has led to commercial practices that—when examined through at least three legal aspects discussed—can be considered questionable under EU food law.</w:t>
      </w:r>
    </w:p>
    <w:p w14:paraId="26626824"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As a result, the practice of labelling infant food with the phrase “from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can be challenged in terms of its compliance with EU food law and consumer protection regulations. From the perspective of regulatory coherence and public health protection—both for infants and mothers—it would be justified to revise or clarify existing regulations to:</w:t>
      </w:r>
    </w:p>
    <w:p w14:paraId="2841EA85" w14:textId="028B9C44" w:rsidR="00245199" w:rsidRPr="00626895" w:rsidRDefault="00245199" w:rsidP="002D0C80">
      <w:pPr>
        <w:numPr>
          <w:ilvl w:val="0"/>
          <w:numId w:val="15"/>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Eliminate inconsistencies between Regulation (EU) No 609/2013, Delegated Regulation (EU) No 2016/127 and Directive 2006/125/EC;</w:t>
      </w:r>
    </w:p>
    <w:p w14:paraId="03CEC810" w14:textId="40F6A11D" w:rsidR="00245199" w:rsidRPr="00626895" w:rsidRDefault="00245199" w:rsidP="002D0C80">
      <w:pPr>
        <w:numPr>
          <w:ilvl w:val="0"/>
          <w:numId w:val="15"/>
        </w:numPr>
        <w:spacing w:before="100" w:beforeAutospacing="1" w:after="100" w:afterAutospacing="1" w:line="360" w:lineRule="auto"/>
        <w:ind w:firstLine="0"/>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Prohibit the marketing of food products with labelling that suggests that introducing complementary feeding at 4 months is universally beneficial or “standard” unless it is accompanied by mandatory, nuanced information on the conditions under which complementary feeding before 6 months may be appropriate.</w:t>
      </w:r>
    </w:p>
    <w:p w14:paraId="2EDDB5D3" w14:textId="508FA928"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A suitable opportunity for such regulatory amendments may be found in the European Green Deal, which extends beyond traditional climate protection instruments to include initiatives aimed at improving public health and increasing consumer awareness</w:t>
      </w:r>
      <w:r w:rsidR="008B5C73">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26"/>
      </w:r>
    </w:p>
    <w:p w14:paraId="19C5A8B5" w14:textId="32594949"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It is important to emphasise that the potential misleading of consumers discussed in this article does not currently constitute a direct legal violation for which companies can be held accountable, as existing legislation permits this type of labelling (“from the 4</w:t>
      </w:r>
      <w:r w:rsidRPr="00626895">
        <w:rPr>
          <w:rFonts w:ascii="Times New Roman" w:eastAsia="Times New Roman" w:hAnsi="Times New Roman" w:cs="Times New Roman"/>
          <w:sz w:val="24"/>
          <w:szCs w:val="24"/>
          <w:vertAlign w:val="superscript"/>
          <w:lang w:val="en-GB" w:eastAsia="pl-PL"/>
        </w:rPr>
        <w:t>th</w:t>
      </w:r>
      <w:r w:rsidRPr="00626895">
        <w:rPr>
          <w:rFonts w:ascii="Times New Roman" w:eastAsia="Times New Roman" w:hAnsi="Times New Roman" w:cs="Times New Roman"/>
          <w:sz w:val="24"/>
          <w:szCs w:val="24"/>
          <w:lang w:val="en-GB" w:eastAsia="pl-PL"/>
        </w:rPr>
        <w:t xml:space="preserve"> month”). Rather, this issue stems from a legal and regulatory gap that </w:t>
      </w:r>
      <w:r w:rsidR="008B5C73">
        <w:rPr>
          <w:rFonts w:ascii="Times New Roman" w:eastAsia="Times New Roman" w:hAnsi="Times New Roman" w:cs="Times New Roman"/>
          <w:sz w:val="24"/>
          <w:szCs w:val="24"/>
          <w:lang w:val="en-GB" w:eastAsia="pl-PL"/>
        </w:rPr>
        <w:t>makes</w:t>
      </w:r>
      <w:r w:rsidR="008B5C73" w:rsidRPr="00626895">
        <w:rPr>
          <w:rFonts w:ascii="Times New Roman" w:eastAsia="Times New Roman" w:hAnsi="Times New Roman" w:cs="Times New Roman"/>
          <w:sz w:val="24"/>
          <w:szCs w:val="24"/>
          <w:lang w:val="en-GB" w:eastAsia="pl-PL"/>
        </w:rPr>
        <w:t xml:space="preserve"> </w:t>
      </w:r>
      <w:r w:rsidRPr="00626895">
        <w:rPr>
          <w:rFonts w:ascii="Times New Roman" w:eastAsia="Times New Roman" w:hAnsi="Times New Roman" w:cs="Times New Roman"/>
          <w:sz w:val="24"/>
          <w:szCs w:val="24"/>
          <w:lang w:val="en-GB" w:eastAsia="pl-PL"/>
        </w:rPr>
        <w:t>a potentially misleading commercial outcome</w:t>
      </w:r>
      <w:r w:rsidR="008B5C73">
        <w:rPr>
          <w:rFonts w:ascii="Times New Roman" w:eastAsia="Times New Roman" w:hAnsi="Times New Roman" w:cs="Times New Roman"/>
          <w:sz w:val="24"/>
          <w:szCs w:val="24"/>
          <w:lang w:val="en-GB" w:eastAsia="pl-PL"/>
        </w:rPr>
        <w:t xml:space="preserve"> possible</w:t>
      </w:r>
      <w:r w:rsidRPr="00626895">
        <w:rPr>
          <w:rFonts w:ascii="Times New Roman" w:eastAsia="Times New Roman" w:hAnsi="Times New Roman" w:cs="Times New Roman"/>
          <w:sz w:val="24"/>
          <w:szCs w:val="24"/>
          <w:lang w:val="en-GB" w:eastAsia="pl-PL"/>
        </w:rPr>
        <w:t>. However, the analysis conducted suggests that action is necessary to enhance consumer protection and ensure the provision of accurate information.</w:t>
      </w:r>
    </w:p>
    <w:p w14:paraId="4EE5E306" w14:textId="265D429F"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Only when legislation is revised to align more closely with scientific consensus and the best interests of the child will it be possible to effectively enforce stricter corporate compliance with clearer and more evidence-based labelling requirements</w:t>
      </w:r>
      <w:r w:rsidR="008B5C73">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27"/>
      </w:r>
    </w:p>
    <w:p w14:paraId="7FC841D3" w14:textId="62D1A414"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According to WHO, delaying complementary feeding until 6 months of age benefits not only the infant but also the mother. Moreover, the benefits of exclusive breastfeeding for the first six months have been highlighted in the European Code Against Cancer, developed by the International Agency for Research on Cancer (IARC), a part of </w:t>
      </w:r>
      <w:r w:rsidR="008B5C73">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WHO</w:t>
      </w:r>
      <w:r w:rsidR="008B5C73">
        <w:rPr>
          <w:rFonts w:ascii="Times New Roman" w:eastAsia="Times New Roman" w:hAnsi="Times New Roman" w:cs="Times New Roman"/>
          <w:sz w:val="24"/>
          <w:szCs w:val="24"/>
          <w:lang w:val="en-GB" w:eastAsia="pl-PL"/>
        </w:rPr>
        <w:t>.</w:t>
      </w:r>
      <w:r w:rsidRPr="00626895">
        <w:rPr>
          <w:rStyle w:val="Odwoanieprzypisudolnego"/>
          <w:rFonts w:ascii="Times New Roman" w:hAnsi="Times New Roman" w:cs="Times New Roman"/>
          <w:sz w:val="24"/>
          <w:szCs w:val="24"/>
          <w:lang w:val="en-GB"/>
        </w:rPr>
        <w:footnoteReference w:id="28"/>
      </w:r>
      <w:r w:rsidRPr="00626895">
        <w:rPr>
          <w:rFonts w:ascii="Times New Roman" w:eastAsia="Times New Roman" w:hAnsi="Times New Roman" w:cs="Times New Roman"/>
          <w:sz w:val="24"/>
          <w:szCs w:val="24"/>
          <w:lang w:val="en-GB" w:eastAsia="pl-PL"/>
        </w:rPr>
        <w:t xml:space="preserve"> This initiative—</w:t>
      </w:r>
      <w:r w:rsidRPr="00626895">
        <w:rPr>
          <w:rFonts w:ascii="Times New Roman" w:eastAsia="Times New Roman" w:hAnsi="Times New Roman" w:cs="Times New Roman"/>
          <w:sz w:val="24"/>
          <w:szCs w:val="24"/>
          <w:lang w:val="en-GB" w:eastAsia="pl-PL"/>
        </w:rPr>
        <w:lastRenderedPageBreak/>
        <w:t>endorsed by the European Commission—aims to educate the public on actions to reduce cancer risk.</w:t>
      </w:r>
    </w:p>
    <w:p w14:paraId="409230D7"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The Code states that the risk of breast cancer decreases by approximately 4% for every cumulative 12 months of breastfeeding, with an additional 2% risk reduction achieved through exclusive breastfeeding for at least 6 months.</w:t>
      </w:r>
    </w:p>
    <w:p w14:paraId="4368853E" w14:textId="4644FF9A"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However, the health benefits for mothers in the context of cancer prevention were not the focus of EFSA’s scientific opinion. For </w:t>
      </w:r>
      <w:r w:rsidR="008B5C73">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WHO, highlighting maternal benefits serves as an additional argument in favour of exclusive breastfeeding for the first six months of an infant’s life.</w:t>
      </w:r>
    </w:p>
    <w:p w14:paraId="0C7A7113" w14:textId="1F9076B3"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The current legal framework, which effectively allows parents to be misled regarding the optimal time to introduce complementary feeding, could be considered a potential failure to uphold the obligations </w:t>
      </w:r>
      <w:r w:rsidR="008B5C73">
        <w:rPr>
          <w:rFonts w:ascii="Times New Roman" w:eastAsia="Times New Roman" w:hAnsi="Times New Roman" w:cs="Times New Roman"/>
          <w:sz w:val="24"/>
          <w:szCs w:val="24"/>
          <w:lang w:val="en-GB" w:eastAsia="pl-PL"/>
        </w:rPr>
        <w:t xml:space="preserve">under </w:t>
      </w:r>
      <w:r w:rsidRPr="00626895">
        <w:rPr>
          <w:rFonts w:ascii="Times New Roman" w:eastAsia="Times New Roman" w:hAnsi="Times New Roman" w:cs="Times New Roman"/>
          <w:sz w:val="24"/>
          <w:szCs w:val="24"/>
          <w:lang w:val="en-GB" w:eastAsia="pl-PL"/>
        </w:rPr>
        <w:t>Article 24(2) of the Convention on the Rights of the Child (CRC). This provision requires States Parties to ensure that all social groups—particularly parents and children—have access to education and support regarding child health and nutrition.</w:t>
      </w:r>
    </w:p>
    <w:p w14:paraId="50509E3F"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If unclear or misleading product labelling results in the earlier-than-optimal introduction of complementary feeding, this could be seen as a failure to fulfil this obligation.</w:t>
      </w:r>
    </w:p>
    <w:p w14:paraId="3FD3C781"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Additionally, as outlined earlier, scientific research has demonstrated clear health benefits of breastfeeding not only for infants but also for mothers. Under Article 24(2)(d) CRC, States Parties are obliged to take appropriate measures </w:t>
      </w:r>
      <w:r w:rsidRPr="00626895">
        <w:rPr>
          <w:rFonts w:ascii="Times New Roman" w:eastAsia="Times New Roman" w:hAnsi="Times New Roman" w:cs="Times New Roman"/>
          <w:i/>
          <w:iCs/>
          <w:sz w:val="24"/>
          <w:szCs w:val="24"/>
          <w:lang w:val="en-GB" w:eastAsia="pl-PL"/>
        </w:rPr>
        <w:t>“to ensure that mothers receive appropriate pre-natal and post-natal health care”</w:t>
      </w:r>
      <w:r w:rsidRPr="00626895">
        <w:rPr>
          <w:rFonts w:ascii="Times New Roman" w:eastAsia="Times New Roman" w:hAnsi="Times New Roman" w:cs="Times New Roman"/>
          <w:sz w:val="24"/>
          <w:szCs w:val="24"/>
          <w:lang w:val="en-GB" w:eastAsia="pl-PL"/>
        </w:rPr>
        <w:t>.</w:t>
      </w:r>
    </w:p>
    <w:p w14:paraId="3A9979EE" w14:textId="77777777"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In this context, cancer prevention—particularly breast cancer—should be recognised as a significant aspect of maternal health care, given its potential to reduce the risk of a life-threatening disease. From a child welfare perspective, maternal health is not only critical during pregnancy and childbirth but also for the long-term development of the child.</w:t>
      </w:r>
    </w:p>
    <w:p w14:paraId="434E3CE0" w14:textId="50211814" w:rsidR="00245199" w:rsidRPr="00626895" w:rsidRDefault="00245199" w:rsidP="00B16085">
      <w:pPr>
        <w:spacing w:before="100" w:beforeAutospacing="1" w:after="100" w:afterAutospacing="1" w:line="360" w:lineRule="auto"/>
        <w:ind w:firstLine="709"/>
        <w:contextualSpacing/>
        <w:jc w:val="both"/>
        <w:rPr>
          <w:rFonts w:ascii="Times New Roman" w:eastAsia="Times New Roman" w:hAnsi="Times New Roman" w:cs="Times New Roman"/>
          <w:sz w:val="24"/>
          <w:szCs w:val="24"/>
          <w:lang w:val="en-GB" w:eastAsia="pl-PL"/>
        </w:rPr>
      </w:pPr>
      <w:r w:rsidRPr="00626895">
        <w:rPr>
          <w:rFonts w:ascii="Times New Roman" w:eastAsia="Times New Roman" w:hAnsi="Times New Roman" w:cs="Times New Roman"/>
          <w:sz w:val="24"/>
          <w:szCs w:val="24"/>
          <w:lang w:val="en-GB" w:eastAsia="pl-PL"/>
        </w:rPr>
        <w:t xml:space="preserve">Considering the overarching objective of EU food law—which, as stated in Article 5 of Regulation (EC) No 178/2002, is to ensure a high level of human health and life protection—future research should further examine the impact of misleading commercial practices on maternal health in relation to </w:t>
      </w:r>
      <w:r w:rsidR="00933082">
        <w:rPr>
          <w:rFonts w:ascii="Times New Roman" w:eastAsia="Times New Roman" w:hAnsi="Times New Roman" w:cs="Times New Roman"/>
          <w:sz w:val="24"/>
          <w:szCs w:val="24"/>
          <w:lang w:val="en-GB" w:eastAsia="pl-PL"/>
        </w:rPr>
        <w:t xml:space="preserve">the </w:t>
      </w:r>
      <w:r w:rsidRPr="00626895">
        <w:rPr>
          <w:rFonts w:ascii="Times New Roman" w:eastAsia="Times New Roman" w:hAnsi="Times New Roman" w:cs="Times New Roman"/>
          <w:sz w:val="24"/>
          <w:szCs w:val="24"/>
          <w:lang w:val="en-GB" w:eastAsia="pl-PL"/>
        </w:rPr>
        <w:t xml:space="preserve">WHO/Europe’s identified concerns. This would </w:t>
      </w:r>
      <w:r w:rsidR="00933082">
        <w:rPr>
          <w:rFonts w:ascii="Times New Roman" w:eastAsia="Times New Roman" w:hAnsi="Times New Roman" w:cs="Times New Roman"/>
          <w:sz w:val="24"/>
          <w:szCs w:val="24"/>
          <w:lang w:val="en-GB" w:eastAsia="pl-PL"/>
        </w:rPr>
        <w:t xml:space="preserve">enable </w:t>
      </w:r>
      <w:r w:rsidRPr="00626895">
        <w:rPr>
          <w:rFonts w:ascii="Times New Roman" w:eastAsia="Times New Roman" w:hAnsi="Times New Roman" w:cs="Times New Roman"/>
          <w:sz w:val="24"/>
          <w:szCs w:val="24"/>
          <w:lang w:val="en-GB" w:eastAsia="pl-PL"/>
        </w:rPr>
        <w:t>a</w:t>
      </w:r>
      <w:r w:rsidR="00933082">
        <w:rPr>
          <w:rFonts w:ascii="Times New Roman" w:eastAsia="Times New Roman" w:hAnsi="Times New Roman" w:cs="Times New Roman"/>
          <w:sz w:val="24"/>
          <w:szCs w:val="24"/>
          <w:lang w:val="en-GB" w:eastAsia="pl-PL"/>
        </w:rPr>
        <w:t> </w:t>
      </w:r>
      <w:r w:rsidRPr="00626895">
        <w:rPr>
          <w:rFonts w:ascii="Times New Roman" w:eastAsia="Times New Roman" w:hAnsi="Times New Roman" w:cs="Times New Roman"/>
          <w:sz w:val="24"/>
          <w:szCs w:val="24"/>
          <w:lang w:val="en-GB" w:eastAsia="pl-PL"/>
        </w:rPr>
        <w:t>more comprehensive evaluation of the regulatory shortcomings and their implications for both consumer protection and public health.</w:t>
      </w:r>
    </w:p>
    <w:p w14:paraId="23E7B455" w14:textId="0AFDEA03" w:rsidR="00245199" w:rsidRPr="00626895" w:rsidRDefault="00245199" w:rsidP="00B16085">
      <w:pPr>
        <w:spacing w:line="360" w:lineRule="auto"/>
        <w:ind w:firstLine="709"/>
        <w:contextualSpacing/>
        <w:jc w:val="both"/>
        <w:rPr>
          <w:rFonts w:ascii="Times New Roman" w:hAnsi="Times New Roman" w:cs="Times New Roman"/>
          <w:sz w:val="24"/>
          <w:szCs w:val="24"/>
          <w:lang w:val="en-GB" w:eastAsia="pl-PL"/>
        </w:rPr>
      </w:pPr>
    </w:p>
    <w:p w14:paraId="597E9591" w14:textId="038CDCBD" w:rsidR="00732242" w:rsidRPr="00626895" w:rsidRDefault="00732242" w:rsidP="00B16085">
      <w:pPr>
        <w:spacing w:before="100" w:beforeAutospacing="1" w:after="100" w:afterAutospacing="1" w:line="360" w:lineRule="auto"/>
        <w:ind w:firstLine="709"/>
        <w:contextualSpacing/>
        <w:jc w:val="both"/>
        <w:rPr>
          <w:rFonts w:ascii="Times New Roman" w:hAnsi="Times New Roman" w:cs="Times New Roman"/>
          <w:sz w:val="24"/>
          <w:szCs w:val="24"/>
          <w:lang w:val="en-GB"/>
        </w:rPr>
      </w:pPr>
    </w:p>
    <w:sectPr w:rsidR="00732242" w:rsidRPr="0062689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AAE0" w14:textId="77777777" w:rsidR="00866323" w:rsidRDefault="00866323">
      <w:pPr>
        <w:spacing w:after="0" w:line="240" w:lineRule="auto"/>
      </w:pPr>
      <w:r>
        <w:separator/>
      </w:r>
    </w:p>
  </w:endnote>
  <w:endnote w:type="continuationSeparator" w:id="0">
    <w:p w14:paraId="7333F9D5" w14:textId="77777777" w:rsidR="00866323" w:rsidRDefault="00866323">
      <w:pPr>
        <w:spacing w:after="0" w:line="240" w:lineRule="auto"/>
      </w:pPr>
      <w:r>
        <w:continuationSeparator/>
      </w:r>
    </w:p>
  </w:endnote>
  <w:endnote w:type="continuationNotice" w:id="1">
    <w:p w14:paraId="3F8F7F27" w14:textId="77777777" w:rsidR="00866323" w:rsidRDefault="00866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4A43" w14:textId="77777777" w:rsidR="00BA2F25" w:rsidRDefault="00BA2F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30F8B" w14:textId="77777777" w:rsidR="00866323" w:rsidRDefault="00866323">
      <w:pPr>
        <w:spacing w:after="0" w:line="240" w:lineRule="auto"/>
      </w:pPr>
      <w:r>
        <w:separator/>
      </w:r>
    </w:p>
  </w:footnote>
  <w:footnote w:type="continuationSeparator" w:id="0">
    <w:p w14:paraId="4804D1EE" w14:textId="77777777" w:rsidR="00866323" w:rsidRDefault="00866323">
      <w:pPr>
        <w:spacing w:after="0" w:line="240" w:lineRule="auto"/>
      </w:pPr>
      <w:r>
        <w:continuationSeparator/>
      </w:r>
    </w:p>
  </w:footnote>
  <w:footnote w:type="continuationNotice" w:id="1">
    <w:p w14:paraId="3956DDC8" w14:textId="77777777" w:rsidR="00866323" w:rsidRDefault="00866323">
      <w:pPr>
        <w:spacing w:after="0" w:line="240" w:lineRule="auto"/>
      </w:pPr>
    </w:p>
  </w:footnote>
  <w:footnote w:id="2">
    <w:p w14:paraId="6C8EC870" w14:textId="373D4D66" w:rsidR="00DD6A51" w:rsidRPr="00626895" w:rsidRDefault="00DD6A51"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906FDB" w:rsidRPr="00626895">
        <w:rPr>
          <w:rFonts w:ascii="Times New Roman" w:hAnsi="Times New Roman" w:cs="Times New Roman"/>
          <w:lang w:val="en-US"/>
        </w:rPr>
        <w:t xml:space="preserve">The WHO Regional Office for Europe, </w:t>
      </w:r>
      <w:r w:rsidR="00906FDB" w:rsidRPr="00626895">
        <w:rPr>
          <w:rFonts w:ascii="Times New Roman" w:hAnsi="Times New Roman" w:cs="Times New Roman"/>
          <w:i/>
          <w:iCs/>
          <w:lang w:val="en-US"/>
        </w:rPr>
        <w:t>Improving the Nutritional Quality of Commercial Foods for Infants and Young Children in the WHO European Region</w:t>
      </w:r>
      <w:r w:rsidR="00906FDB" w:rsidRPr="00626895">
        <w:rPr>
          <w:rFonts w:ascii="Times New Roman" w:hAnsi="Times New Roman" w:cs="Times New Roman"/>
          <w:lang w:val="en-US"/>
        </w:rPr>
        <w:t xml:space="preserve"> (2019).</w:t>
      </w:r>
    </w:p>
  </w:footnote>
  <w:footnote w:id="3">
    <w:p w14:paraId="307CC21E" w14:textId="07945AD2" w:rsidR="00DD6A51" w:rsidRPr="00626895" w:rsidRDefault="00DD6A51"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906FDB" w:rsidRPr="00626895">
        <w:rPr>
          <w:rFonts w:ascii="Times New Roman" w:hAnsi="Times New Roman" w:cs="Times New Roman"/>
          <w:lang w:val="en-US"/>
        </w:rPr>
        <w:t xml:space="preserve">The WHO Regional Office for Europe, </w:t>
      </w:r>
      <w:r w:rsidR="00906FDB" w:rsidRPr="00626895">
        <w:rPr>
          <w:rFonts w:ascii="Times New Roman" w:hAnsi="Times New Roman" w:cs="Times New Roman"/>
          <w:i/>
          <w:iCs/>
          <w:lang w:val="en-US"/>
        </w:rPr>
        <w:t>Commercial Foods for Infants and Young Children in the WHO European Region: The Availability, Composition and Marketing of Baby Foods in Four European Countries (2019); Ending Inappropriate Promotion of Commercially Available Complementary Foods for Infants and Young Children between 6 and 36 Months in Europe</w:t>
      </w:r>
      <w:r w:rsidR="00906FDB" w:rsidRPr="00626895">
        <w:rPr>
          <w:rFonts w:ascii="Times New Roman" w:hAnsi="Times New Roman" w:cs="Times New Roman"/>
          <w:lang w:val="en-US"/>
        </w:rPr>
        <w:t xml:space="preserve"> (2019).</w:t>
      </w:r>
    </w:p>
  </w:footnote>
  <w:footnote w:id="4">
    <w:p w14:paraId="64DC6E89" w14:textId="221B723E" w:rsidR="00DD6A51" w:rsidRPr="00626895" w:rsidRDefault="00DD6A51"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Pr="00B16085">
        <w:rPr>
          <w:rFonts w:ascii="Times New Roman" w:hAnsi="Times New Roman" w:cs="Times New Roman"/>
        </w:rPr>
        <w:fldChar w:fldCharType="begin"/>
      </w:r>
      <w:r w:rsidRPr="00626895">
        <w:rPr>
          <w:rFonts w:ascii="Times New Roman" w:hAnsi="Times New Roman" w:cs="Times New Roman"/>
          <w:lang w:val="en-US"/>
        </w:rPr>
        <w:instrText xml:space="preserve"> ADDIN ZOTERO_ITEM CSL_CITATION {"citationID":"rXyQfeSe","properties":{"formattedCitation":"{\\i{}Improving the nutritional quality of commercial foods for infants and young children in the WHO European Region}, s. 2.","plainCitation":"Improving the nutritional quality of commercial foods for infants and young children in the WHO European Region, s. 2.","noteIndex":3},"citationItems":[{"id":372,"uris":["http://zotero.org/users/local/2aicDMvq/items/EI5ZSQKK"],"itemData":{"id":372,"type":"report","number":"WHO/EURO:2019-3593-43352-60816","publisher":"The WHO Regional Office for Europe","title":"Improving the nutritional quality of commercial foods for infants and young children in the WHO European Region","issued":{"date-parts":[["2019"]]}},"locator":"2"}],"schema":"https://github.com/citation-style-language/schema/raw/master/csl-citation.json"} </w:instrText>
      </w:r>
      <w:r w:rsidRPr="00B16085">
        <w:rPr>
          <w:rFonts w:ascii="Times New Roman" w:hAnsi="Times New Roman" w:cs="Times New Roman"/>
        </w:rPr>
        <w:fldChar w:fldCharType="separate"/>
      </w:r>
      <w:r w:rsidR="00906FDB" w:rsidRPr="00626895">
        <w:rPr>
          <w:rFonts w:ascii="Times New Roman" w:hAnsi="Times New Roman" w:cs="Times New Roman"/>
          <w:lang w:val="en-US"/>
        </w:rPr>
        <w:t xml:space="preserve"> The WHO Regional Office for Europe, </w:t>
      </w:r>
      <w:r w:rsidR="00906FDB" w:rsidRPr="00626895">
        <w:rPr>
          <w:rFonts w:ascii="Times New Roman" w:hAnsi="Times New Roman" w:cs="Times New Roman"/>
          <w:i/>
          <w:iCs/>
          <w:lang w:val="en-US"/>
        </w:rPr>
        <w:t>Improving the Nutritional Quality …</w:t>
      </w:r>
      <w:r w:rsidRPr="00626895">
        <w:rPr>
          <w:rFonts w:ascii="Times New Roman" w:hAnsi="Times New Roman" w:cs="Times New Roman"/>
          <w:szCs w:val="24"/>
          <w:lang w:val="en-US"/>
        </w:rPr>
        <w:t xml:space="preserve">, </w:t>
      </w:r>
      <w:r w:rsidR="00906FDB" w:rsidRPr="00626895">
        <w:rPr>
          <w:rFonts w:ascii="Times New Roman" w:hAnsi="Times New Roman" w:cs="Times New Roman"/>
          <w:szCs w:val="24"/>
          <w:lang w:val="en-US"/>
        </w:rPr>
        <w:t>p</w:t>
      </w:r>
      <w:r w:rsidRPr="00626895">
        <w:rPr>
          <w:rFonts w:ascii="Times New Roman" w:hAnsi="Times New Roman" w:cs="Times New Roman"/>
          <w:szCs w:val="24"/>
          <w:lang w:val="en-US"/>
        </w:rPr>
        <w:t>. 2.</w:t>
      </w:r>
      <w:r w:rsidRPr="00B16085">
        <w:rPr>
          <w:rFonts w:ascii="Times New Roman" w:hAnsi="Times New Roman" w:cs="Times New Roman"/>
        </w:rPr>
        <w:fldChar w:fldCharType="end"/>
      </w:r>
    </w:p>
  </w:footnote>
  <w:footnote w:id="5">
    <w:p w14:paraId="7EB34140" w14:textId="7DAC2B0F" w:rsidR="00A3059D" w:rsidRPr="00626895" w:rsidRDefault="00A3059D"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DD4966" w:rsidRPr="00626895">
        <w:rPr>
          <w:rFonts w:ascii="Times New Roman" w:hAnsi="Times New Roman" w:cs="Times New Roman"/>
          <w:lang w:val="en-US"/>
        </w:rPr>
        <w:t xml:space="preserve">It </w:t>
      </w:r>
      <w:r w:rsidR="005505B0" w:rsidRPr="00626895">
        <w:rPr>
          <w:rFonts w:ascii="Times New Roman" w:hAnsi="Times New Roman" w:cs="Times New Roman"/>
          <w:lang w:val="en-US"/>
        </w:rPr>
        <w:t>has to</w:t>
      </w:r>
      <w:r w:rsidR="00DD4966" w:rsidRPr="00626895">
        <w:rPr>
          <w:rFonts w:ascii="Times New Roman" w:hAnsi="Times New Roman" w:cs="Times New Roman"/>
          <w:lang w:val="en-US"/>
        </w:rPr>
        <w:t xml:space="preserve"> be emphasized that the identified </w:t>
      </w:r>
      <w:r w:rsidR="00155C61" w:rsidRPr="00626895">
        <w:rPr>
          <w:rFonts w:ascii="Times New Roman" w:hAnsi="Times New Roman" w:cs="Times New Roman"/>
          <w:lang w:val="en-US"/>
        </w:rPr>
        <w:t>concerns</w:t>
      </w:r>
      <w:r w:rsidR="00DD4966" w:rsidRPr="00626895">
        <w:rPr>
          <w:rFonts w:ascii="Times New Roman" w:hAnsi="Times New Roman" w:cs="Times New Roman"/>
          <w:lang w:val="en-US"/>
        </w:rPr>
        <w:t xml:space="preserve"> do not imply the illegality of such labeling in the event of legal proceedings. However, in the author's opinion, this practice contradicts the logic derived from the regulations discussed in the following sections.</w:t>
      </w:r>
    </w:p>
  </w:footnote>
  <w:footnote w:id="6">
    <w:p w14:paraId="36FE05F0" w14:textId="00334E93" w:rsidR="001A3238" w:rsidRPr="00626895" w:rsidRDefault="001A3238"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906FDB" w:rsidRPr="00626895">
        <w:rPr>
          <w:rFonts w:ascii="Times New Roman" w:hAnsi="Times New Roman" w:cs="Times New Roman"/>
          <w:lang w:val="en-US"/>
        </w:rPr>
        <w:t xml:space="preserve">O. Bartlett, A. Garde, Time to Seize the (Red) Bull by the Horns: The EU’s Failure to Protect Children from Alcohol and Unhealthy Food Marketing, European Law Review 38(4) (2013). Ibid. E. Boyland, Is it Ethical to Advertise Unhealthy Foods to Children?, Proceedings of the Nutrition Society 82(3) (2023), DOI: 10.1017/S0029665123000010. </w:t>
      </w:r>
      <w:r w:rsidR="00906FDB" w:rsidRPr="00B16085">
        <w:rPr>
          <w:rFonts w:ascii="Times New Roman" w:hAnsi="Times New Roman" w:cs="Times New Roman"/>
        </w:rPr>
        <w:t xml:space="preserve">J.A. Farhan, Reklama żywności niezdrowej skierowana do dzieci i młodzieży w prawie międzynarodowym i unijnym, in M. Namysłowska, K. Podgórski, E. </w:t>
      </w:r>
      <w:proofErr w:type="spellStart"/>
      <w:r w:rsidR="00906FDB" w:rsidRPr="00B16085">
        <w:rPr>
          <w:rFonts w:ascii="Times New Roman" w:hAnsi="Times New Roman" w:cs="Times New Roman"/>
        </w:rPr>
        <w:t>Sługocka-Krupa</w:t>
      </w:r>
      <w:proofErr w:type="spellEnd"/>
      <w:r w:rsidR="00906FDB" w:rsidRPr="00B16085">
        <w:rPr>
          <w:rFonts w:ascii="Times New Roman" w:hAnsi="Times New Roman" w:cs="Times New Roman"/>
        </w:rPr>
        <w:t xml:space="preserve"> (</w:t>
      </w:r>
      <w:proofErr w:type="spellStart"/>
      <w:r w:rsidR="00906FDB" w:rsidRPr="00B16085">
        <w:rPr>
          <w:rFonts w:ascii="Times New Roman" w:hAnsi="Times New Roman" w:cs="Times New Roman"/>
        </w:rPr>
        <w:t>eds</w:t>
      </w:r>
      <w:proofErr w:type="spellEnd"/>
      <w:r w:rsidR="00906FDB" w:rsidRPr="00B16085">
        <w:rPr>
          <w:rFonts w:ascii="Times New Roman" w:hAnsi="Times New Roman" w:cs="Times New Roman"/>
        </w:rPr>
        <w:t xml:space="preserve">.), Wyzwania dla prawa konsumenckiego w wymiarze globalnym, regionalnym i lokalnym (C.H. Beck, 2022). </w:t>
      </w:r>
      <w:r w:rsidR="00906FDB" w:rsidRPr="00626895">
        <w:rPr>
          <w:rFonts w:ascii="Times New Roman" w:hAnsi="Times New Roman" w:cs="Times New Roman"/>
          <w:lang w:val="en-US"/>
        </w:rPr>
        <w:t>A. Garde, Harmful Commercial Marketing and Children’s Rights: For a Better Use of EU Powers, European Journal of Risk Regulation 11 (2020), DOI: 10.1017/err.2020.83.</w:t>
      </w:r>
    </w:p>
  </w:footnote>
  <w:footnote w:id="7">
    <w:p w14:paraId="023DC435" w14:textId="21ADF17B" w:rsidR="001A3238" w:rsidRPr="00626895" w:rsidRDefault="001A3238"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906FDB" w:rsidRPr="00626895">
        <w:rPr>
          <w:rFonts w:ascii="Times New Roman" w:hAnsi="Times New Roman" w:cs="Times New Roman"/>
          <w:lang w:val="en-US"/>
        </w:rPr>
        <w:t>Convention on the Rights of the Child, adopted by the United Nations General Assembly on 20 November 1989 (OJ 1991, item 526).</w:t>
      </w:r>
    </w:p>
  </w:footnote>
  <w:footnote w:id="8">
    <w:p w14:paraId="735F3A4F" w14:textId="650C3753" w:rsidR="00AD6B74" w:rsidRPr="00626895" w:rsidRDefault="00AD6B74"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906FDB" w:rsidRPr="00626895">
        <w:rPr>
          <w:rFonts w:ascii="Times New Roman" w:hAnsi="Times New Roman" w:cs="Times New Roman"/>
          <w:lang w:val="en-US"/>
        </w:rPr>
        <w:t>Article 22 of Regulation (EC) No 178/2002 of the European Parliament and of the Council of 28 January 2002 laying down the general principles and requirements of food law, establishing the European Food Safety Authority, and laying down procedures in matters of food safety (OJ L 31, 1.2.2002, p. 1, as amended), hereinafter: Regulation No 178/2002.</w:t>
      </w:r>
    </w:p>
  </w:footnote>
  <w:footnote w:id="9">
    <w:p w14:paraId="4E1D9384" w14:textId="20A58F15" w:rsidR="00AD6B74" w:rsidRPr="00626895" w:rsidRDefault="00AD6B74"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B16085">
        <w:rPr>
          <w:rFonts w:ascii="Times New Roman" w:hAnsi="Times New Roman" w:cs="Times New Roman"/>
        </w:rPr>
        <w:t xml:space="preserve"> </w:t>
      </w:r>
      <w:r w:rsidR="006F3712" w:rsidRPr="006F3712">
        <w:rPr>
          <w:rFonts w:ascii="Times New Roman" w:hAnsi="Times New Roman" w:cs="Times New Roman"/>
        </w:rPr>
        <w:t>“</w:t>
      </w:r>
      <w:r w:rsidR="006F3712" w:rsidRPr="00B16085">
        <w:rPr>
          <w:rFonts w:ascii="Times New Roman" w:hAnsi="Times New Roman" w:cs="Times New Roman"/>
        </w:rPr>
        <w:fldChar w:fldCharType="begin"/>
      </w:r>
      <w:r w:rsidR="006F3712" w:rsidRPr="00B16085">
        <w:rPr>
          <w:rFonts w:ascii="Times New Roman" w:hAnsi="Times New Roman" w:cs="Times New Roman"/>
        </w:rPr>
        <w:instrText xml:space="preserve"> ADDIN ZOTERO_ITEM CSL_CITATION {"citationID":"46yXOA2e","properties":{"formattedCitation":"\\uc0\\u8222{}The fact that an infant maybe ready from a neurodevelopmental perspective to progress to a more diversi\\uc0\\u64257{}ed diet before 6 monthsof age does not imply that there is a need to introduce CFs\\uc0\\u8221{}. EFSA Panel on Nutrition, Novel Foods and Food Allergens (NDA) i in., {\\i{}Appropriate age range for introduction of complementary feeding into an infant\\uc0\\u8217{}s diet}, \\uc0\\u8222{}EFSA Journal\\uc0\\u8221{} t. 17 nr 9 (2019), DOI: 10.2903/j.efsa.2019.5780.","plainCitation":"„The fact that an infant maybe ready from a neurodevelopmental perspective to progress to a more diversiﬁed diet before 6 monthsof age does not imply that there is a need to introduce CFs”. EFSA Panel on Nutrition, Novel Foods and Food Allergens (NDA) i in., Appropriate age range for introduction of complementary feeding into an infant’s diet, „EFSA Journal” t. 17 nr 9 (2019), DOI: 10.2903/j.efsa.2019.5780.","dontUpdate":true,"noteIndex":8},"citationItems":[{"id":380,"uris":["http://zotero.org/users/local/2aicDMvq/items/FDNG6YLF"],"itemData":{"id":380,"type":"article-journal","abstract":"Following a request from the European Commission, the Panel on Nutrition, Novel Foods and Food Allergens (NDA) revised its 2009 Opinion on the appropriate age for introduction of complementary feeding of infants. This age has been evaluated considering the effects on health outcomes, nutritional aspects and infant development, and depends on the individual's characteristics and development. As long as foods have an age-appropriate texture, are nutritionally appropriate and prepared following good hygiene practices, there is no convincing evidence that at any age investigated in the included studies (&lt; 1 to &lt; 6 months), the introduction of complementary foods (CFs) is associated with adverse health effects or benefits (except for infants at risk of iron depletion). For nutritional reasons, the majority of infants need CFs from around 6 months of age. Infants at risk of iron depletion (exclusively breastfed infants born to mothers with low iron status, or with early umbilical cord clamping (&lt; 1 min after birth), or born preterm, or born small-for-gestational age or with high growth velocity) may benefit from earlier introduction of CFs that are a source of iron. The earliest developmental skills relevant for consuming pureed CFs can be observed between 3 and 4 months of age. Skills for consuming finger foods can be observed in some infants at 4 months, but more commonly at 5–7 months. The fact that an infant may be ready from a neurodevelopmental perspective to progress to a more diversified diet before 6 months of age does not imply that there is a need to introduce CFs. There is no reason to postpone the introduction of potentially allergenic foods (egg, cereals, fish and peanut) to a later age than that of other CFs as far as the risk of developing atopic diseases is concerned. Regarding the risk of coeliac disease, gluten can be introduced with other CFs.","container-title":"EFSA Journal","DOI":"10.2903/j.efsa.2019.5780","ISSN":"1831-4732","issue":"9","language":"en","license":"© 2019 European Food Safety Authority. EFSA Journal published by John Wiley and Sons Ltd on behalf of European Food Safety Authority.","note":"_eprint: https://onlinelibrary.wiley.com/doi/pdf/10.2903/j.efsa.2019.5</w:instrText>
      </w:r>
      <w:r w:rsidR="006F3712" w:rsidRPr="00626895">
        <w:rPr>
          <w:rFonts w:ascii="Times New Roman" w:hAnsi="Times New Roman" w:cs="Times New Roman"/>
          <w:lang w:val="en-US"/>
        </w:rPr>
        <w:instrText>780","page":"e05780","source":"Wiley Online Library","title":"Appropriate age range for introduction of complementary feeding into an infant's diet","volume":"17","author":[{"literal":"EFSA Panel on Nutrition, Novel Foods and Food Allergens (NDA)"},{"family":"Castenmiller","given":"Jacqueline"},{"family":"Henauw","given":"Stefaan","non-dropping-particle":"de"},{"family":"Hirsch-Ernst","given":"Karen-Ildico"},{"family":"Kearney","given":"John"},{"family":"Knutsen","given":"Helle Katrine"},{"family":"Maciuk","given":"Alexandre"},{"family":"Mangelsdorf","given":"Inge"},{"family":"McArdle","given":"Harry J"},{"family":"Naska","given":"Androniki"},{"family":"Pelaez","given":"Carmen"},{"family":"Pentieva","given":"Kristina"},{"family":"Siani","given":"Alfonso"},{"family":"Thies","given":"Frank"},{"family":"Tsabouri","given":"Sophia"},{"family":"Vinceti","given":"Marco"},{"family":"Bresson","given":"Jean-Louis"},{"family":"Fewtrell","given":"Mary"},{"family":"Kersting","given":"Mathilde"},{"family":"Przyrembel","given":"Hildegard"},{"family":"Dumas","given":"Céline"},{"family":"Titz","given":"Ariane"},{"family":"Turck","given":"Dominique"}],"issued":{"date-parts":[["2019"]]}},"label":"page","prefix":"\"The fact that an infant maybe ready from a neurodevelopmental perspective to progress to a more diversi</w:instrText>
      </w:r>
      <w:r w:rsidR="006F3712" w:rsidRPr="00B16085">
        <w:rPr>
          <w:rFonts w:ascii="Times New Roman" w:hAnsi="Times New Roman" w:cs="Times New Roman"/>
        </w:rPr>
        <w:instrText>ﬁ</w:instrText>
      </w:r>
      <w:r w:rsidR="006F3712" w:rsidRPr="00626895">
        <w:rPr>
          <w:rFonts w:ascii="Times New Roman" w:hAnsi="Times New Roman" w:cs="Times New Roman"/>
          <w:lang w:val="en-US"/>
        </w:rPr>
        <w:instrText xml:space="preserve">ed diet before 6 monthsof age does not imply that there is a need to introduce CFs\"."}],"schema":"https://github.com/citation-style-language/schema/raw/master/csl-citation.json"} </w:instrText>
      </w:r>
      <w:r w:rsidR="006F3712" w:rsidRPr="00B16085">
        <w:rPr>
          <w:rFonts w:ascii="Times New Roman" w:hAnsi="Times New Roman" w:cs="Times New Roman"/>
        </w:rPr>
        <w:fldChar w:fldCharType="separate"/>
      </w:r>
      <w:r w:rsidR="006F3712" w:rsidRPr="00626895">
        <w:rPr>
          <w:rFonts w:ascii="Times New Roman" w:hAnsi="Times New Roman" w:cs="Times New Roman"/>
          <w:szCs w:val="24"/>
          <w:lang w:val="en-US"/>
        </w:rPr>
        <w:t>The fact that an infant may be ready from a neurodevelopmental perspective to progress to a more diversi</w:t>
      </w:r>
      <w:r w:rsidR="006F3712" w:rsidRPr="00B16085">
        <w:rPr>
          <w:rFonts w:ascii="Times New Roman" w:hAnsi="Times New Roman" w:cs="Times New Roman"/>
          <w:szCs w:val="24"/>
        </w:rPr>
        <w:t>ﬁ</w:t>
      </w:r>
      <w:r w:rsidR="006F3712" w:rsidRPr="00626895">
        <w:rPr>
          <w:rFonts w:ascii="Times New Roman" w:hAnsi="Times New Roman" w:cs="Times New Roman"/>
          <w:szCs w:val="24"/>
          <w:lang w:val="en-US"/>
        </w:rPr>
        <w:t>ed diet before 6 months of age does not imply that there is a need to introduce CFs”. EFSA Panel on Nutrition, Novel Foods and Food Allergens (NDA) et al., Appropriate Age Range for Introduction of Complementary Feeding into an Infant’s Diet, EFSA Journal 17(9) (2019), DOI: 10.2903/j.efsa.2019.5780.</w:t>
      </w:r>
      <w:r w:rsidR="006F3712" w:rsidRPr="00B16085">
        <w:rPr>
          <w:rFonts w:ascii="Times New Roman" w:hAnsi="Times New Roman" w:cs="Times New Roman"/>
        </w:rPr>
        <w:fldChar w:fldCharType="end"/>
      </w:r>
    </w:p>
  </w:footnote>
  <w:footnote w:id="10">
    <w:p w14:paraId="318A4BE0" w14:textId="04ABDBD0" w:rsidR="00AD6B74" w:rsidRPr="00626895" w:rsidRDefault="00AD6B74"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906FDB" w:rsidRPr="00626895">
        <w:rPr>
          <w:rFonts w:ascii="Times New Roman" w:hAnsi="Times New Roman" w:cs="Times New Roman"/>
          <w:lang w:val="en-US"/>
        </w:rPr>
        <w:t>Ibid.</w:t>
      </w:r>
    </w:p>
  </w:footnote>
  <w:footnote w:id="11">
    <w:p w14:paraId="3C65E95F" w14:textId="5400310F" w:rsidR="00795C43" w:rsidRPr="00626895" w:rsidRDefault="00795C43"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906FDB" w:rsidRPr="00626895">
        <w:rPr>
          <w:rFonts w:ascii="Times New Roman" w:hAnsi="Times New Roman" w:cs="Times New Roman"/>
          <w:lang w:val="en-US"/>
        </w:rPr>
        <w:t>Article 2(1)(f) of Regulation (EU) No 609/2013 of the European Parliament and of the Council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 (OJ L 181, 29.6.2013, p. 35), hereinafter: Regulation No 609/2013</w:t>
      </w:r>
      <w:r w:rsidRPr="00626895">
        <w:rPr>
          <w:rFonts w:ascii="Times New Roman" w:hAnsi="Times New Roman" w:cs="Times New Roman"/>
          <w:lang w:val="en-US"/>
        </w:rPr>
        <w:t xml:space="preserve">. </w:t>
      </w:r>
    </w:p>
  </w:footnote>
  <w:footnote w:id="12">
    <w:p w14:paraId="2E29EB63" w14:textId="0618E741" w:rsidR="00795C43" w:rsidRPr="00626895" w:rsidRDefault="00795C43"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Regulation (EU) No 1169/2011 of the European Parliament and of the Council of 25 October 2011 on the provision of food information to consumers, amending Regulations (EC) No 1924/2006 and (EC) No 1925/2006 of the European Parliament and of the Council, and repealing Commission Directive 87/250/EEC, Council Directive 90/496/EEC, Commission Directive 1999/10/EC, Directive 2000/13/EC of the European Parliament and of the Council, Commission Directives 2002/67/EC and 2008/5/EC, and Commission Regulation (EC) No 608/2004 (OJ L 304, 22.11.2011, p. 18, as amended), hereinafter: Regulation No 1169/2011</w:t>
      </w:r>
      <w:r w:rsidRPr="00626895">
        <w:rPr>
          <w:rFonts w:ascii="Times New Roman" w:hAnsi="Times New Roman" w:cs="Times New Roman"/>
          <w:lang w:val="en-US"/>
        </w:rPr>
        <w:t>.</w:t>
      </w:r>
    </w:p>
  </w:footnote>
  <w:footnote w:id="13">
    <w:p w14:paraId="19BCC44E" w14:textId="47E050CC" w:rsidR="00795C43" w:rsidRPr="00626895" w:rsidRDefault="00795C43"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Article 1(2) of Regulation No 1169/2011</w:t>
      </w:r>
      <w:r w:rsidRPr="00626895">
        <w:rPr>
          <w:rFonts w:ascii="Times New Roman" w:hAnsi="Times New Roman" w:cs="Times New Roman"/>
          <w:lang w:val="en-US"/>
        </w:rPr>
        <w:t>.</w:t>
      </w:r>
    </w:p>
  </w:footnote>
  <w:footnote w:id="14">
    <w:p w14:paraId="03FB4C0D" w14:textId="07F50654" w:rsidR="00795C43" w:rsidRPr="00626895" w:rsidRDefault="00795C43"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Commission Delegated Regulation (EU) 2016/127 of 25 September 2015 supplementing Regulation (EU) No 609/2013 of the European Parliament and of the Council as regards specific requirements for the composition and information on infant formula and follow-on formula, and as regards requirements on information relating to infant and young child feeding (OJ L 25, 2.2.2016, p. 1, as amended), hereinafter: Delegated Regulation No 2016/127</w:t>
      </w:r>
      <w:r w:rsidRPr="00626895">
        <w:rPr>
          <w:rFonts w:ascii="Times New Roman" w:hAnsi="Times New Roman" w:cs="Times New Roman"/>
          <w:lang w:val="en-US"/>
        </w:rPr>
        <w:t xml:space="preserve">. </w:t>
      </w:r>
    </w:p>
  </w:footnote>
  <w:footnote w:id="15">
    <w:p w14:paraId="3C3E2C23" w14:textId="543042C9" w:rsidR="00795C43" w:rsidRPr="00626895" w:rsidRDefault="00795C43"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Commission Directive 2006/125/EC of 5 December 2006 on processed cereal-based foods and baby foods for infants and young children (OJ L 339, 6.12.2006, p. 16), hereinafter: Directive 2006/125/EC.</w:t>
      </w:r>
    </w:p>
  </w:footnote>
  <w:footnote w:id="16">
    <w:p w14:paraId="70E4AA19" w14:textId="223ABCEA" w:rsidR="00831C9F" w:rsidRPr="00626895" w:rsidRDefault="00831C9F"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Directive 2006/114/EC of the European Parliament and of the Council of 12 December 2006 concerning misleading and comparative advertising (OJ L 376, 27.12.2006, p. 21), hereinafter: Directive 2006/114/EC.</w:t>
      </w:r>
    </w:p>
  </w:footnote>
  <w:footnote w:id="17">
    <w:p w14:paraId="3B46EB15" w14:textId="333E72E4" w:rsidR="00831C9F" w:rsidRPr="00626895" w:rsidRDefault="00831C9F"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Article 2(2)(c) of Regulation No 609/2013.</w:t>
      </w:r>
    </w:p>
  </w:footnote>
  <w:footnote w:id="18">
    <w:p w14:paraId="785B8E7A" w14:textId="2680C0D5" w:rsidR="00831C9F" w:rsidRPr="00626895" w:rsidRDefault="00831C9F"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Article 2(2)(d) of Regulation No 609/2013.</w:t>
      </w:r>
    </w:p>
  </w:footnote>
  <w:footnote w:id="19">
    <w:p w14:paraId="1BC12951" w14:textId="77777777" w:rsidR="00831C9F" w:rsidRPr="00626895" w:rsidRDefault="00831C9F"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Cambridge Dictionary, appropriate, https://dictionary.cambridge.org/dictionary/english/appropriate.</w:t>
      </w:r>
    </w:p>
  </w:footnote>
  <w:footnote w:id="20">
    <w:p w14:paraId="2DE995D0" w14:textId="70E8FF74" w:rsidR="00245199" w:rsidRPr="00626895" w:rsidRDefault="00245199"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Directive 2005/29/EC of the European Parliament and of the Council of 11 May 2005 concerning unfair business-to-consumer commercial practices in the internal market and amending Council Directive 84/450/EEC, Directives 97/7/EC, 98/27/EC, and 2002/65/EC of the European Parliament and of the Council, and Regulation (EC) No 2006/2004 of the European Parliament and of the Council (Unfair Commercial Practices Directive) (OJ L 149, 11.6.2005, p. 22, as amended).</w:t>
      </w:r>
    </w:p>
  </w:footnote>
  <w:footnote w:id="21">
    <w:p w14:paraId="57375699" w14:textId="69D6FE96" w:rsidR="00245199" w:rsidRPr="00B16085" w:rsidRDefault="00245199" w:rsidP="00B16085">
      <w:pPr>
        <w:pStyle w:val="Tekstprzypisudolnego"/>
        <w:jc w:val="both"/>
        <w:rPr>
          <w:rFonts w:ascii="Times New Roman" w:hAnsi="Times New Roman" w:cs="Times New Roman"/>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 xml:space="preserve">Trento </w:t>
      </w:r>
      <w:proofErr w:type="spellStart"/>
      <w:r w:rsidR="00B16085" w:rsidRPr="00626895">
        <w:rPr>
          <w:rFonts w:ascii="Times New Roman" w:hAnsi="Times New Roman" w:cs="Times New Roman"/>
          <w:lang w:val="en-US"/>
        </w:rPr>
        <w:t>Sviluppo</w:t>
      </w:r>
      <w:proofErr w:type="spellEnd"/>
      <w:r w:rsidR="00B16085" w:rsidRPr="00626895">
        <w:rPr>
          <w:rFonts w:ascii="Times New Roman" w:hAnsi="Times New Roman" w:cs="Times New Roman"/>
          <w:lang w:val="en-US"/>
        </w:rPr>
        <w:t xml:space="preserve"> </w:t>
      </w:r>
      <w:proofErr w:type="spellStart"/>
      <w:r w:rsidR="00B16085" w:rsidRPr="00626895">
        <w:rPr>
          <w:rFonts w:ascii="Times New Roman" w:hAnsi="Times New Roman" w:cs="Times New Roman"/>
          <w:lang w:val="en-US"/>
        </w:rPr>
        <w:t>srl</w:t>
      </w:r>
      <w:proofErr w:type="spellEnd"/>
      <w:r w:rsidR="00B16085" w:rsidRPr="00626895">
        <w:rPr>
          <w:rFonts w:ascii="Times New Roman" w:hAnsi="Times New Roman" w:cs="Times New Roman"/>
          <w:lang w:val="en-US"/>
        </w:rPr>
        <w:t xml:space="preserve"> and Centrale </w:t>
      </w:r>
      <w:proofErr w:type="spellStart"/>
      <w:r w:rsidR="00B16085" w:rsidRPr="00626895">
        <w:rPr>
          <w:rFonts w:ascii="Times New Roman" w:hAnsi="Times New Roman" w:cs="Times New Roman"/>
          <w:lang w:val="en-US"/>
        </w:rPr>
        <w:t>Adriatica</w:t>
      </w:r>
      <w:proofErr w:type="spellEnd"/>
      <w:r w:rsidR="00B16085" w:rsidRPr="00626895">
        <w:rPr>
          <w:rFonts w:ascii="Times New Roman" w:hAnsi="Times New Roman" w:cs="Times New Roman"/>
          <w:lang w:val="en-US"/>
        </w:rPr>
        <w:t xml:space="preserve"> Soc. coop. </w:t>
      </w:r>
      <w:proofErr w:type="spellStart"/>
      <w:r w:rsidR="00B16085" w:rsidRPr="00626895">
        <w:rPr>
          <w:rFonts w:ascii="Times New Roman" w:hAnsi="Times New Roman" w:cs="Times New Roman"/>
          <w:lang w:val="en-US"/>
        </w:rPr>
        <w:t>arl</w:t>
      </w:r>
      <w:proofErr w:type="spellEnd"/>
      <w:r w:rsidR="00B16085" w:rsidRPr="00626895">
        <w:rPr>
          <w:rFonts w:ascii="Times New Roman" w:hAnsi="Times New Roman" w:cs="Times New Roman"/>
          <w:lang w:val="en-US"/>
        </w:rPr>
        <w:t xml:space="preserve"> v. </w:t>
      </w:r>
      <w:proofErr w:type="spellStart"/>
      <w:r w:rsidR="00B16085" w:rsidRPr="00626895">
        <w:rPr>
          <w:rFonts w:ascii="Times New Roman" w:hAnsi="Times New Roman" w:cs="Times New Roman"/>
          <w:lang w:val="en-US"/>
        </w:rPr>
        <w:t>Autorità</w:t>
      </w:r>
      <w:proofErr w:type="spellEnd"/>
      <w:r w:rsidR="00B16085" w:rsidRPr="00626895">
        <w:rPr>
          <w:rFonts w:ascii="Times New Roman" w:hAnsi="Times New Roman" w:cs="Times New Roman"/>
          <w:lang w:val="en-US"/>
        </w:rPr>
        <w:t xml:space="preserve"> </w:t>
      </w:r>
      <w:proofErr w:type="spellStart"/>
      <w:r w:rsidR="00B16085" w:rsidRPr="00626895">
        <w:rPr>
          <w:rFonts w:ascii="Times New Roman" w:hAnsi="Times New Roman" w:cs="Times New Roman"/>
          <w:lang w:val="en-US"/>
        </w:rPr>
        <w:t>Garante</w:t>
      </w:r>
      <w:proofErr w:type="spellEnd"/>
      <w:r w:rsidR="00B16085" w:rsidRPr="00626895">
        <w:rPr>
          <w:rFonts w:ascii="Times New Roman" w:hAnsi="Times New Roman" w:cs="Times New Roman"/>
          <w:lang w:val="en-US"/>
        </w:rPr>
        <w:t xml:space="preserve"> </w:t>
      </w:r>
      <w:proofErr w:type="spellStart"/>
      <w:r w:rsidR="00B16085" w:rsidRPr="00626895">
        <w:rPr>
          <w:rFonts w:ascii="Times New Roman" w:hAnsi="Times New Roman" w:cs="Times New Roman"/>
          <w:lang w:val="en-US"/>
        </w:rPr>
        <w:t>della</w:t>
      </w:r>
      <w:proofErr w:type="spellEnd"/>
      <w:r w:rsidR="00B16085" w:rsidRPr="00626895">
        <w:rPr>
          <w:rFonts w:ascii="Times New Roman" w:hAnsi="Times New Roman" w:cs="Times New Roman"/>
          <w:lang w:val="en-US"/>
        </w:rPr>
        <w:t xml:space="preserve"> </w:t>
      </w:r>
      <w:proofErr w:type="spellStart"/>
      <w:r w:rsidR="00B16085" w:rsidRPr="00626895">
        <w:rPr>
          <w:rFonts w:ascii="Times New Roman" w:hAnsi="Times New Roman" w:cs="Times New Roman"/>
          <w:lang w:val="en-US"/>
        </w:rPr>
        <w:t>Concorrenza</w:t>
      </w:r>
      <w:proofErr w:type="spellEnd"/>
      <w:r w:rsidR="00B16085" w:rsidRPr="00626895">
        <w:rPr>
          <w:rFonts w:ascii="Times New Roman" w:hAnsi="Times New Roman" w:cs="Times New Roman"/>
          <w:lang w:val="en-US"/>
        </w:rPr>
        <w:t xml:space="preserve"> e del Mercato, Judgment of the Court (Sixth Chamber), 19 December 2013, Case C-281/12, para. </w:t>
      </w:r>
      <w:r w:rsidR="00B16085" w:rsidRPr="00B16085">
        <w:rPr>
          <w:rFonts w:ascii="Times New Roman" w:hAnsi="Times New Roman" w:cs="Times New Roman"/>
        </w:rPr>
        <w:t>30.</w:t>
      </w:r>
    </w:p>
  </w:footnote>
  <w:footnote w:id="22">
    <w:p w14:paraId="7AFD9382" w14:textId="5181B34F" w:rsidR="00245199" w:rsidRPr="00B16085" w:rsidRDefault="00245199" w:rsidP="00B16085">
      <w:pPr>
        <w:pStyle w:val="Tekstprzypisudolnego"/>
        <w:jc w:val="both"/>
        <w:rPr>
          <w:rFonts w:ascii="Times New Roman" w:hAnsi="Times New Roman" w:cs="Times New Roman"/>
        </w:rPr>
      </w:pPr>
      <w:r w:rsidRPr="00B16085">
        <w:rPr>
          <w:rStyle w:val="Odwoanieprzypisudolnego"/>
          <w:rFonts w:ascii="Times New Roman" w:hAnsi="Times New Roman" w:cs="Times New Roman"/>
        </w:rPr>
        <w:footnoteRef/>
      </w:r>
      <w:r w:rsidRPr="00B16085">
        <w:rPr>
          <w:rFonts w:ascii="Times New Roman" w:hAnsi="Times New Roman" w:cs="Times New Roman"/>
        </w:rPr>
        <w:t xml:space="preserve"> </w:t>
      </w:r>
      <w:r w:rsidR="00B16085" w:rsidRPr="00B16085">
        <w:rPr>
          <w:rFonts w:ascii="Times New Roman" w:hAnsi="Times New Roman" w:cs="Times New Roman"/>
        </w:rPr>
        <w:t>A. Tischner, Pojęcie „przeciętny konsument” w ustawie o przeciwdziałaniu nieuczciwym praktykom rynkowym na tle prawa i orzecznictwa Unii Europejskiej (2012), pp. 89–90.</w:t>
      </w:r>
    </w:p>
  </w:footnote>
  <w:footnote w:id="23">
    <w:p w14:paraId="7C806CC9" w14:textId="400D790E" w:rsidR="00245199" w:rsidRPr="00626895" w:rsidRDefault="00245199"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C.G. Stanescu, The Responsible Consumer in the Digital Age: On the Conceptual Shift from ‘Average’ to ‘Responsible’ Consumer and the Inadequacy of the ‘Information Paradigm’ in Consumer Financial Protection, 23 February 2019, available at: https://papers.ssrn.com/abstract=3360887, p. 51.</w:t>
      </w:r>
    </w:p>
  </w:footnote>
  <w:footnote w:id="24">
    <w:p w14:paraId="766242E3" w14:textId="5CAC3F06" w:rsidR="00245199" w:rsidRPr="00626895" w:rsidRDefault="00245199"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7A6FF3">
        <w:rPr>
          <w:rFonts w:ascii="Times New Roman" w:hAnsi="Times New Roman" w:cs="Times New Roman"/>
          <w:lang w:val="en-US"/>
        </w:rPr>
        <w:t xml:space="preserve">Nonetheless, it is </w:t>
      </w:r>
      <w:r w:rsidR="00B16085" w:rsidRPr="00626895">
        <w:rPr>
          <w:rFonts w:ascii="Times New Roman" w:hAnsi="Times New Roman" w:cs="Times New Roman"/>
          <w:lang w:val="en-US"/>
        </w:rPr>
        <w:t>worth noting</w:t>
      </w:r>
      <w:r w:rsidR="007A6FF3">
        <w:rPr>
          <w:rFonts w:ascii="Times New Roman" w:hAnsi="Times New Roman" w:cs="Times New Roman"/>
          <w:lang w:val="en-US"/>
        </w:rPr>
        <w:t xml:space="preserve"> </w:t>
      </w:r>
      <w:r w:rsidR="00B16085" w:rsidRPr="00626895">
        <w:rPr>
          <w:rFonts w:ascii="Times New Roman" w:hAnsi="Times New Roman" w:cs="Times New Roman"/>
          <w:lang w:val="en-US"/>
        </w:rPr>
        <w:t>the concerns regarding this model that have emerged in light of neuroscience. See: M.T. Roberts (ed.), Research Handbook on International Food Law (Edward Elgar Publishing, 2023), p. 223 et seq.</w:t>
      </w:r>
    </w:p>
  </w:footnote>
  <w:footnote w:id="25">
    <w:p w14:paraId="2D4E6D82" w14:textId="01BF2D9B" w:rsidR="00245199" w:rsidRPr="00626895" w:rsidRDefault="00245199"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00B16085" w:rsidRPr="00626895">
        <w:rPr>
          <w:rFonts w:ascii="Times New Roman" w:hAnsi="Times New Roman" w:cs="Times New Roman"/>
          <w:lang w:val="en-US"/>
        </w:rPr>
        <w:t>Judgment of the Supreme Court of Poland of 9 October 2014, Case IV CSK 56/14, Legalis.</w:t>
      </w:r>
    </w:p>
  </w:footnote>
  <w:footnote w:id="26">
    <w:p w14:paraId="5FD9AC6D" w14:textId="4234AC55" w:rsidR="00245199" w:rsidRPr="00B16085" w:rsidRDefault="00245199" w:rsidP="00B16085">
      <w:pPr>
        <w:pStyle w:val="Tekstprzypisudolnego"/>
        <w:jc w:val="both"/>
        <w:rPr>
          <w:rFonts w:ascii="Times New Roman" w:hAnsi="Times New Roman" w:cs="Times New Roman"/>
        </w:rPr>
      </w:pPr>
      <w:r w:rsidRPr="00B16085">
        <w:rPr>
          <w:rStyle w:val="Odwoanieprzypisudolnego"/>
          <w:rFonts w:ascii="Times New Roman" w:hAnsi="Times New Roman" w:cs="Times New Roman"/>
        </w:rPr>
        <w:footnoteRef/>
      </w:r>
      <w:r w:rsidRPr="00B16085">
        <w:rPr>
          <w:rFonts w:ascii="Times New Roman" w:hAnsi="Times New Roman" w:cs="Times New Roman"/>
        </w:rPr>
        <w:t xml:space="preserve"> </w:t>
      </w:r>
      <w:r w:rsidR="00B16085" w:rsidRPr="00B16085">
        <w:rPr>
          <w:rFonts w:ascii="Times New Roman" w:hAnsi="Times New Roman" w:cs="Times New Roman"/>
        </w:rPr>
        <w:t xml:space="preserve">A. Niewiadomski, Europejski Zielony Ład w świetle wyzwań polskiego prawa rolnego, Studia </w:t>
      </w:r>
      <w:proofErr w:type="spellStart"/>
      <w:r w:rsidR="00B16085" w:rsidRPr="00B16085">
        <w:rPr>
          <w:rFonts w:ascii="Times New Roman" w:hAnsi="Times New Roman" w:cs="Times New Roman"/>
        </w:rPr>
        <w:t>Iuridica</w:t>
      </w:r>
      <w:proofErr w:type="spellEnd"/>
      <w:r w:rsidR="00B16085" w:rsidRPr="00B16085">
        <w:rPr>
          <w:rFonts w:ascii="Times New Roman" w:hAnsi="Times New Roman" w:cs="Times New Roman"/>
        </w:rPr>
        <w:t xml:space="preserve"> 88 (2021), DOI: 10.31338/2544-3135.si.2021-88.15, p. 287.</w:t>
      </w:r>
    </w:p>
  </w:footnote>
  <w:footnote w:id="27">
    <w:p w14:paraId="4842C246" w14:textId="659FD675" w:rsidR="00245199" w:rsidRPr="00B16085" w:rsidRDefault="00245199" w:rsidP="00B16085">
      <w:pPr>
        <w:pStyle w:val="Tekstprzypisudolnego"/>
        <w:jc w:val="both"/>
        <w:rPr>
          <w:rFonts w:ascii="Times New Roman" w:hAnsi="Times New Roman" w:cs="Times New Roman"/>
        </w:rPr>
      </w:pPr>
      <w:r w:rsidRPr="00B16085">
        <w:rPr>
          <w:rStyle w:val="Odwoanieprzypisudolnego"/>
          <w:rFonts w:ascii="Times New Roman" w:hAnsi="Times New Roman" w:cs="Times New Roman"/>
        </w:rPr>
        <w:footnoteRef/>
      </w:r>
      <w:r w:rsidRPr="00B16085">
        <w:rPr>
          <w:rFonts w:ascii="Times New Roman" w:hAnsi="Times New Roman" w:cs="Times New Roman"/>
        </w:rPr>
        <w:t xml:space="preserve"> </w:t>
      </w:r>
      <w:r w:rsidRPr="00B16085">
        <w:rPr>
          <w:rFonts w:ascii="Times New Roman" w:hAnsi="Times New Roman" w:cs="Times New Roman"/>
        </w:rPr>
        <w:fldChar w:fldCharType="begin"/>
      </w:r>
      <w:r w:rsidRPr="00B16085">
        <w:rPr>
          <w:rFonts w:ascii="Times New Roman" w:hAnsi="Times New Roman" w:cs="Times New Roman"/>
        </w:rPr>
        <w:instrText xml:space="preserve"> ADDIN ZOTERO_ITEM CSL_CITATION {"citationID":"0UKq951k","properties":{"formattedCitation":"E. Karska, {\\i{}Prawa cz\\uc0\\u322{}owieka wobec biznesu i korporacji transnarodowych \\uc0\\u8211{} wzajemne relacje a nowe tendencje w \\uc0\\u347{}wietle prawa mi\\uc0\\u281{}dzynarodowego} [w:] A. Koz\\uc0\\u322{}owski (red.), {\\i{}Rz\\uc0\\u261{}dy prawa jako warto\\uc0\\u347{}\\uc0\\u263{} uniwersalna: ksi\\uc0\\u281{}ga jubileuszowa Profesora Krzysztofa W\\uc0\\u243{}jtowicza}, Wroc\\uc0\\u322{}aw 2022, s. 344.","plainCitation":"E. Karska, Prawa człowieka wobec biznesu i korporacji transnarodowych – wzajemne relacje a nowe tendencje w świetle prawa międzynarodowego [w:] A. Kozłowski (red.), Rządy prawa jako wartość uniwersalna: księga jubileuszowa Profesora Krzysztofa Wójtowicza, Wrocław 2022, s. 344.","noteIndex":28},"citationItems":[{"id":537,"uris":["http://zotero.org/users/local/2aicDMvq/items/9AGVV3PG"],"itemData":{"id":537,"type":"chapter","call-number":"1.050.215 III A","collection-title":"e-Monografie ; nr 200","container-title":"Rządy prawa jako wartość uniwersalna: księga jubileuszowa Profesora Krzysztofa Wójtowicza","event-place":"Wrocław","ISBN":"978-83-66601-85-7","language":"pol;eng","note":"DOI: 10.34616/145176","publisher":"E-Wydawnictwo. Prawnicza i Ekonomiczna Biblioteka Cyfrowa. Wydział Prawa, Administracji i Ekonomii Uniwersytetu Wrocławskiego","publisher-place":"Wrocław","source":"katalogi.uj.edu.pl","title":"Prawa człowieka wobec biznesu i korporacji transnarodowych – wzajemne relacje a nowe tendencje w świetle prawa międzynarodowego","editor":[{"family":"Kozłowski","given":"Artur"}],"author":[{"family":"Karska","given":"Elżbieta"}],"issued":{"date-parts":[["2022"]]}},"locator":"344"}],"schema":"https://github.com/citation-style-language/schema/raw/master/csl-citation.json"} </w:instrText>
      </w:r>
      <w:r w:rsidRPr="00B16085">
        <w:rPr>
          <w:rFonts w:ascii="Times New Roman" w:hAnsi="Times New Roman" w:cs="Times New Roman"/>
        </w:rPr>
        <w:fldChar w:fldCharType="separate"/>
      </w:r>
      <w:r w:rsidR="00B16085" w:rsidRPr="00B16085">
        <w:rPr>
          <w:rFonts w:ascii="Times New Roman" w:hAnsi="Times New Roman" w:cs="Times New Roman"/>
          <w:szCs w:val="24"/>
        </w:rPr>
        <w:t>E. Karska, Prawa człowieka wobec biznesu i korporacji transnarodowych – wzajemne relacje a nowe tendencje w świetle prawa międzynarodowego, in A. Kozłowski (ed.), Rządy prawa jako wartość uniwersalna: księga jubileuszowa Profesora Krzysztofa Wójtowicza (Wrocław, 2022), p. 344.</w:t>
      </w:r>
      <w:r w:rsidRPr="00B16085">
        <w:rPr>
          <w:rFonts w:ascii="Times New Roman" w:hAnsi="Times New Roman" w:cs="Times New Roman"/>
        </w:rPr>
        <w:fldChar w:fldCharType="end"/>
      </w:r>
      <w:r w:rsidR="00B16085" w:rsidRPr="00B16085">
        <w:rPr>
          <w:rFonts w:ascii="Times New Roman" w:hAnsi="Times New Roman" w:cs="Times New Roman"/>
        </w:rPr>
        <w:t xml:space="preserve"> </w:t>
      </w:r>
    </w:p>
  </w:footnote>
  <w:footnote w:id="28">
    <w:p w14:paraId="51CEBF47" w14:textId="54BB5CA8" w:rsidR="00245199" w:rsidRPr="00626895" w:rsidRDefault="00245199" w:rsidP="00B16085">
      <w:pPr>
        <w:pStyle w:val="Tekstprzypisudolnego"/>
        <w:jc w:val="both"/>
        <w:rPr>
          <w:rFonts w:ascii="Times New Roman" w:hAnsi="Times New Roman" w:cs="Times New Roman"/>
          <w:lang w:val="en-US"/>
        </w:rPr>
      </w:pPr>
      <w:r w:rsidRPr="00B16085">
        <w:rPr>
          <w:rStyle w:val="Odwoanieprzypisudolnego"/>
          <w:rFonts w:ascii="Times New Roman" w:hAnsi="Times New Roman" w:cs="Times New Roman"/>
        </w:rPr>
        <w:footnoteRef/>
      </w:r>
      <w:r w:rsidRPr="00626895">
        <w:rPr>
          <w:rFonts w:ascii="Times New Roman" w:hAnsi="Times New Roman" w:cs="Times New Roman"/>
          <w:lang w:val="en-US"/>
        </w:rPr>
        <w:t xml:space="preserve"> </w:t>
      </w:r>
      <w:r w:rsidRPr="00B16085">
        <w:rPr>
          <w:rFonts w:ascii="Times New Roman" w:hAnsi="Times New Roman" w:cs="Times New Roman"/>
        </w:rPr>
        <w:fldChar w:fldCharType="begin"/>
      </w:r>
      <w:r w:rsidRPr="00626895">
        <w:rPr>
          <w:rFonts w:ascii="Times New Roman" w:hAnsi="Times New Roman" w:cs="Times New Roman"/>
          <w:lang w:val="en-US"/>
        </w:rPr>
        <w:instrText xml:space="preserve"> ADDIN ZOTERO_ITEM CSL_CITATION {"citationID":"6dmMZY4L","properties":{"formattedCitation":"C. Scoccianti i in., {\\i{}European Code against Cancer 4th Edition: Breastfeeding and cancer}, \\uc0\\u8222{}Cancer epidemiology\\uc0\\u8221{} t. 39 Suppl 1 (2015), DOI: 10.1016/j.canep.2014.12.007, s. 105.","plainCitation":"C. Scoccianti i in., European Code against Cancer 4th Edition: Breastfeeding and cancer, „Cancer epidemiology” t. 39 Suppl 1 (2015), DOI: 10.1016/j.canep.2014.12.007, s. 105.","noteIndex":26},"citationItems":[{"id":379,"uris":["http://zotero.org/users/local/2aicDMvq/items/JRI7XG6Q"],"itemData":{"id":379,"type":"article-journal","abstract":"Breast cancer is the most frequent cancer in women, and incidence rates have been rising in European Union (EU) countries over recent decades due in part to a  sharp decline in breastfeeding practices. Evidence for a protective association  between breastfeeding and the risk of breast cancer at all ages is convincing,  and modest protective relationships between breastfeeding and the risk of  endometrial and ovarian cancers have been suggested. The reduction in breast  cancer risk is estimated at 2% for an increase of 5 months of lifetime  breastfeeding. The longer women breastfeed, the more they are protected against  breast cancer. In addition, breastfeeding is associated with several health  benefits for both the mother and the breastfed child. Taking all this evidence  into account, the 4th edition of the European Code against Cancer recommends:  \"Breastfeeding reduces the mother's cancer risk. If you can, breastfeed your  baby\".","container-title":"Cancer epidemiology","DOI":"10.1016/j.canep.2014.12.007","ISSN":"1877-783X 1877-7821","journalAbbreviation":"Cancer Epidemiol","language":"eng","license":"Copyright © 2015 International Agency for Research on Cancer. Published by Elsevier Ltd. All rights reserved.","note":"publisher-place: Netherlands\nPMID: 26116994","page":"S101-106","title":"European Code against Cancer 4th Edition: Breastfeeding and cancer","volume":"39 Suppl 1","author":[{"family":"Scoccianti","given":"Chiara"},{"family":"Key","given":"Timothy J."},{"family":"Anderson","given":"Annie S."},{"family":"Armaroli","given":"Paola"},{"family":"Berrino","given":"Franco"},{"family":"Cecchini","given":"Michele"},{"family":"Boutron-Ruault","given":"Marie-Christine"},{"family":"Leitzmann","given":"Michael"},{"family":"Norat","given":"Teresa"},{"family":"Powers","given":"Hilary"},{"family":"Schüz","given":"Joachim"},{"family":"Wiseman","given":"Martin"},{"family":"Romieu","given":"Isabelle"}],"issued":{"date-parts":[["2015",12]]}},"locator":"105"}],"schema":"https://github.com/citation-style-language/schema/raw/master/csl-citation.json"} </w:instrText>
      </w:r>
      <w:r w:rsidRPr="00B16085">
        <w:rPr>
          <w:rFonts w:ascii="Times New Roman" w:hAnsi="Times New Roman" w:cs="Times New Roman"/>
        </w:rPr>
        <w:fldChar w:fldCharType="separate"/>
      </w:r>
      <w:r w:rsidR="00B16085" w:rsidRPr="00626895">
        <w:rPr>
          <w:rFonts w:ascii="Times New Roman" w:hAnsi="Times New Roman" w:cs="Times New Roman"/>
          <w:szCs w:val="24"/>
          <w:lang w:val="en-US"/>
        </w:rPr>
        <w:t>C. Scoccianti et al., European Code against Cancer 4</w:t>
      </w:r>
      <w:r w:rsidR="00B16085" w:rsidRPr="00626895">
        <w:rPr>
          <w:rFonts w:ascii="Times New Roman" w:hAnsi="Times New Roman" w:cs="Times New Roman"/>
          <w:szCs w:val="24"/>
          <w:vertAlign w:val="superscript"/>
          <w:lang w:val="en-US"/>
        </w:rPr>
        <w:t>th</w:t>
      </w:r>
      <w:r w:rsidR="00B16085" w:rsidRPr="00626895">
        <w:rPr>
          <w:rFonts w:ascii="Times New Roman" w:hAnsi="Times New Roman" w:cs="Times New Roman"/>
          <w:szCs w:val="24"/>
          <w:lang w:val="en-US"/>
        </w:rPr>
        <w:t xml:space="preserve"> Edition: Breastfeeding and Cancer, Cancer Epidemiology 39 Suppl 1 (2015), DOI: 10.1016/j.canep.2014.12.007, p. 105</w:t>
      </w:r>
      <w:r w:rsidRPr="00626895">
        <w:rPr>
          <w:rFonts w:ascii="Times New Roman" w:hAnsi="Times New Roman" w:cs="Times New Roman"/>
          <w:szCs w:val="24"/>
          <w:lang w:val="en-US"/>
        </w:rPr>
        <w:t>.</w:t>
      </w:r>
      <w:r w:rsidRPr="00B16085">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71A1" w14:textId="77777777" w:rsidR="00BA2F25" w:rsidRDefault="00BA2F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F30EB"/>
    <w:multiLevelType w:val="multilevel"/>
    <w:tmpl w:val="EDBC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C3766"/>
    <w:multiLevelType w:val="hybridMultilevel"/>
    <w:tmpl w:val="D8EA2F5E"/>
    <w:lvl w:ilvl="0" w:tplc="A5C8988A">
      <w:start w:val="1"/>
      <w:numFmt w:val="decimal"/>
      <w:pStyle w:val="Akapitzlist"/>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2" w15:restartNumberingAfterBreak="0">
    <w:nsid w:val="22391BE3"/>
    <w:multiLevelType w:val="multilevel"/>
    <w:tmpl w:val="02BE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A62B4"/>
    <w:multiLevelType w:val="multilevel"/>
    <w:tmpl w:val="BBF8B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5376FC"/>
    <w:multiLevelType w:val="multilevel"/>
    <w:tmpl w:val="EF90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14CAE"/>
    <w:multiLevelType w:val="multilevel"/>
    <w:tmpl w:val="022A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02776"/>
    <w:multiLevelType w:val="multilevel"/>
    <w:tmpl w:val="0382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AF0E01"/>
    <w:multiLevelType w:val="multilevel"/>
    <w:tmpl w:val="CEB4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20780"/>
    <w:multiLevelType w:val="multilevel"/>
    <w:tmpl w:val="A524E27C"/>
    <w:lvl w:ilvl="0">
      <w:start w:val="1"/>
      <w:numFmt w:val="bullet"/>
      <w:pStyle w:val="listamylnik"/>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9" w15:restartNumberingAfterBreak="0">
    <w:nsid w:val="58370065"/>
    <w:multiLevelType w:val="multilevel"/>
    <w:tmpl w:val="A336C9EE"/>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D67850"/>
    <w:multiLevelType w:val="multilevel"/>
    <w:tmpl w:val="DB60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5F6998"/>
    <w:multiLevelType w:val="hybridMultilevel"/>
    <w:tmpl w:val="8768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2A12C2"/>
    <w:multiLevelType w:val="multilevel"/>
    <w:tmpl w:val="8518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711E97"/>
    <w:multiLevelType w:val="multilevel"/>
    <w:tmpl w:val="89B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22836"/>
    <w:multiLevelType w:val="multilevel"/>
    <w:tmpl w:val="97F40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9"/>
  </w:num>
  <w:num w:numId="4">
    <w:abstractNumId w:val="11"/>
  </w:num>
  <w:num w:numId="5">
    <w:abstractNumId w:val="7"/>
  </w:num>
  <w:num w:numId="6">
    <w:abstractNumId w:val="5"/>
  </w:num>
  <w:num w:numId="7">
    <w:abstractNumId w:val="4"/>
  </w:num>
  <w:num w:numId="8">
    <w:abstractNumId w:val="6"/>
  </w:num>
  <w:num w:numId="9">
    <w:abstractNumId w:val="10"/>
  </w:num>
  <w:num w:numId="10">
    <w:abstractNumId w:val="0"/>
  </w:num>
  <w:num w:numId="11">
    <w:abstractNumId w:val="14"/>
  </w:num>
  <w:num w:numId="12">
    <w:abstractNumId w:val="12"/>
  </w:num>
  <w:num w:numId="13">
    <w:abstractNumId w:val="2"/>
  </w:num>
  <w:num w:numId="14">
    <w:abstractNumId w:val="3"/>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UwMgcSFgZm5mZGxko6SsGpxcWZ+XkgBca1AHgeUcgsAAAA"/>
  </w:docVars>
  <w:rsids>
    <w:rsidRoot w:val="00994FA7"/>
    <w:rsid w:val="0000240C"/>
    <w:rsid w:val="000042D3"/>
    <w:rsid w:val="00010596"/>
    <w:rsid w:val="0001384B"/>
    <w:rsid w:val="0002183C"/>
    <w:rsid w:val="0002300B"/>
    <w:rsid w:val="00023609"/>
    <w:rsid w:val="00026F79"/>
    <w:rsid w:val="000606A6"/>
    <w:rsid w:val="00067A3F"/>
    <w:rsid w:val="00072B6A"/>
    <w:rsid w:val="00076734"/>
    <w:rsid w:val="000973E7"/>
    <w:rsid w:val="000A05B5"/>
    <w:rsid w:val="000A5B67"/>
    <w:rsid w:val="000B5059"/>
    <w:rsid w:val="000C210D"/>
    <w:rsid w:val="000E2253"/>
    <w:rsid w:val="000F001C"/>
    <w:rsid w:val="000F19A2"/>
    <w:rsid w:val="000F4B10"/>
    <w:rsid w:val="0010136E"/>
    <w:rsid w:val="00101B79"/>
    <w:rsid w:val="0010228F"/>
    <w:rsid w:val="00113650"/>
    <w:rsid w:val="00125FC9"/>
    <w:rsid w:val="00134D49"/>
    <w:rsid w:val="00145B44"/>
    <w:rsid w:val="00155B28"/>
    <w:rsid w:val="00155C61"/>
    <w:rsid w:val="001631F0"/>
    <w:rsid w:val="0016548D"/>
    <w:rsid w:val="001A3238"/>
    <w:rsid w:val="001A5B17"/>
    <w:rsid w:val="001C3EF9"/>
    <w:rsid w:val="001D22BF"/>
    <w:rsid w:val="001E0C9C"/>
    <w:rsid w:val="001E4D85"/>
    <w:rsid w:val="001E71E4"/>
    <w:rsid w:val="001F009D"/>
    <w:rsid w:val="001F10CA"/>
    <w:rsid w:val="0020751F"/>
    <w:rsid w:val="00210AE6"/>
    <w:rsid w:val="0021243C"/>
    <w:rsid w:val="002128CE"/>
    <w:rsid w:val="002154CB"/>
    <w:rsid w:val="00215A55"/>
    <w:rsid w:val="00217F21"/>
    <w:rsid w:val="00225CC5"/>
    <w:rsid w:val="0022641E"/>
    <w:rsid w:val="00230BBF"/>
    <w:rsid w:val="00232D6F"/>
    <w:rsid w:val="0023558C"/>
    <w:rsid w:val="00236247"/>
    <w:rsid w:val="0023775D"/>
    <w:rsid w:val="00245199"/>
    <w:rsid w:val="0026246F"/>
    <w:rsid w:val="0027575C"/>
    <w:rsid w:val="00284427"/>
    <w:rsid w:val="00293E87"/>
    <w:rsid w:val="002A5DD8"/>
    <w:rsid w:val="002C0B29"/>
    <w:rsid w:val="002C3213"/>
    <w:rsid w:val="002D0C80"/>
    <w:rsid w:val="002D6352"/>
    <w:rsid w:val="002D77B2"/>
    <w:rsid w:val="002E5F66"/>
    <w:rsid w:val="002F2535"/>
    <w:rsid w:val="00300256"/>
    <w:rsid w:val="003030C8"/>
    <w:rsid w:val="00324970"/>
    <w:rsid w:val="00341198"/>
    <w:rsid w:val="00353C33"/>
    <w:rsid w:val="003544DD"/>
    <w:rsid w:val="003621D1"/>
    <w:rsid w:val="00363B9D"/>
    <w:rsid w:val="00366020"/>
    <w:rsid w:val="00367E87"/>
    <w:rsid w:val="0037001F"/>
    <w:rsid w:val="00376936"/>
    <w:rsid w:val="0039239B"/>
    <w:rsid w:val="0039344C"/>
    <w:rsid w:val="00395950"/>
    <w:rsid w:val="003959B6"/>
    <w:rsid w:val="003D45CB"/>
    <w:rsid w:val="0040466F"/>
    <w:rsid w:val="004046B4"/>
    <w:rsid w:val="0040773F"/>
    <w:rsid w:val="00416209"/>
    <w:rsid w:val="00425EF0"/>
    <w:rsid w:val="004428CE"/>
    <w:rsid w:val="004444C2"/>
    <w:rsid w:val="00453468"/>
    <w:rsid w:val="00454626"/>
    <w:rsid w:val="00460643"/>
    <w:rsid w:val="004636DC"/>
    <w:rsid w:val="00477BD3"/>
    <w:rsid w:val="00481E69"/>
    <w:rsid w:val="0049049A"/>
    <w:rsid w:val="004930C7"/>
    <w:rsid w:val="00494284"/>
    <w:rsid w:val="004942E8"/>
    <w:rsid w:val="004A078B"/>
    <w:rsid w:val="004A44C1"/>
    <w:rsid w:val="004B07D2"/>
    <w:rsid w:val="004B47B5"/>
    <w:rsid w:val="004B5654"/>
    <w:rsid w:val="004B71BF"/>
    <w:rsid w:val="004C2BD6"/>
    <w:rsid w:val="004C6585"/>
    <w:rsid w:val="004C7AD2"/>
    <w:rsid w:val="004E1F3E"/>
    <w:rsid w:val="004F6B02"/>
    <w:rsid w:val="00507F60"/>
    <w:rsid w:val="005133B8"/>
    <w:rsid w:val="0051483F"/>
    <w:rsid w:val="005236EC"/>
    <w:rsid w:val="0052543E"/>
    <w:rsid w:val="0054442D"/>
    <w:rsid w:val="005505B0"/>
    <w:rsid w:val="0055435F"/>
    <w:rsid w:val="00557B70"/>
    <w:rsid w:val="00561958"/>
    <w:rsid w:val="00571712"/>
    <w:rsid w:val="00572E95"/>
    <w:rsid w:val="005805DB"/>
    <w:rsid w:val="00592FE5"/>
    <w:rsid w:val="00597152"/>
    <w:rsid w:val="005A082E"/>
    <w:rsid w:val="005C028D"/>
    <w:rsid w:val="005C5DA1"/>
    <w:rsid w:val="005D0140"/>
    <w:rsid w:val="005D592E"/>
    <w:rsid w:val="005E7C45"/>
    <w:rsid w:val="005F3CDF"/>
    <w:rsid w:val="006001ED"/>
    <w:rsid w:val="00603C7A"/>
    <w:rsid w:val="0061416D"/>
    <w:rsid w:val="00622748"/>
    <w:rsid w:val="00624C42"/>
    <w:rsid w:val="00626895"/>
    <w:rsid w:val="00634B22"/>
    <w:rsid w:val="006629CA"/>
    <w:rsid w:val="00663080"/>
    <w:rsid w:val="006702F8"/>
    <w:rsid w:val="006837E2"/>
    <w:rsid w:val="00690B85"/>
    <w:rsid w:val="00690BE6"/>
    <w:rsid w:val="006D1CAF"/>
    <w:rsid w:val="006D2B07"/>
    <w:rsid w:val="006D4AD2"/>
    <w:rsid w:val="006D77DD"/>
    <w:rsid w:val="006F0870"/>
    <w:rsid w:val="006F3712"/>
    <w:rsid w:val="00700DC3"/>
    <w:rsid w:val="00703E76"/>
    <w:rsid w:val="00710CDF"/>
    <w:rsid w:val="00721472"/>
    <w:rsid w:val="00732242"/>
    <w:rsid w:val="0073373B"/>
    <w:rsid w:val="0074080F"/>
    <w:rsid w:val="0074112F"/>
    <w:rsid w:val="00747669"/>
    <w:rsid w:val="0076536C"/>
    <w:rsid w:val="00786B37"/>
    <w:rsid w:val="00795C43"/>
    <w:rsid w:val="007A0231"/>
    <w:rsid w:val="007A6FF3"/>
    <w:rsid w:val="007A7010"/>
    <w:rsid w:val="007B50A2"/>
    <w:rsid w:val="007B7300"/>
    <w:rsid w:val="007C0CCA"/>
    <w:rsid w:val="007C246C"/>
    <w:rsid w:val="007C2DF6"/>
    <w:rsid w:val="007D05DA"/>
    <w:rsid w:val="007D0FF7"/>
    <w:rsid w:val="007D44FF"/>
    <w:rsid w:val="007D47A1"/>
    <w:rsid w:val="007D6F44"/>
    <w:rsid w:val="00831C9F"/>
    <w:rsid w:val="00831FDB"/>
    <w:rsid w:val="00832929"/>
    <w:rsid w:val="0085173A"/>
    <w:rsid w:val="00864C9C"/>
    <w:rsid w:val="00866323"/>
    <w:rsid w:val="008712FD"/>
    <w:rsid w:val="0088055D"/>
    <w:rsid w:val="008A360A"/>
    <w:rsid w:val="008B5C73"/>
    <w:rsid w:val="008C328F"/>
    <w:rsid w:val="008D3A5E"/>
    <w:rsid w:val="008D6309"/>
    <w:rsid w:val="008F2FB0"/>
    <w:rsid w:val="008F65DD"/>
    <w:rsid w:val="008F6784"/>
    <w:rsid w:val="00900028"/>
    <w:rsid w:val="00901992"/>
    <w:rsid w:val="00906ED7"/>
    <w:rsid w:val="00906FDB"/>
    <w:rsid w:val="009216B6"/>
    <w:rsid w:val="009249A9"/>
    <w:rsid w:val="009275CA"/>
    <w:rsid w:val="00927728"/>
    <w:rsid w:val="009327AA"/>
    <w:rsid w:val="00933082"/>
    <w:rsid w:val="0094687F"/>
    <w:rsid w:val="00960096"/>
    <w:rsid w:val="009648B2"/>
    <w:rsid w:val="0097535D"/>
    <w:rsid w:val="00994FA7"/>
    <w:rsid w:val="009B0741"/>
    <w:rsid w:val="009B6EC1"/>
    <w:rsid w:val="009C7A36"/>
    <w:rsid w:val="009D05A8"/>
    <w:rsid w:val="009E4368"/>
    <w:rsid w:val="009F0B0C"/>
    <w:rsid w:val="009F3851"/>
    <w:rsid w:val="00A1216F"/>
    <w:rsid w:val="00A13D18"/>
    <w:rsid w:val="00A27351"/>
    <w:rsid w:val="00A3059D"/>
    <w:rsid w:val="00A45CCD"/>
    <w:rsid w:val="00A5561B"/>
    <w:rsid w:val="00A638D4"/>
    <w:rsid w:val="00A72461"/>
    <w:rsid w:val="00A7771C"/>
    <w:rsid w:val="00A81729"/>
    <w:rsid w:val="00AA0C04"/>
    <w:rsid w:val="00AA5C73"/>
    <w:rsid w:val="00AB066F"/>
    <w:rsid w:val="00AB4512"/>
    <w:rsid w:val="00AD0394"/>
    <w:rsid w:val="00AD23D5"/>
    <w:rsid w:val="00AD4E6A"/>
    <w:rsid w:val="00AD6B74"/>
    <w:rsid w:val="00AE1B46"/>
    <w:rsid w:val="00AE1DB9"/>
    <w:rsid w:val="00AE4063"/>
    <w:rsid w:val="00AF117E"/>
    <w:rsid w:val="00B0177C"/>
    <w:rsid w:val="00B11A3F"/>
    <w:rsid w:val="00B1384D"/>
    <w:rsid w:val="00B16085"/>
    <w:rsid w:val="00B22C2C"/>
    <w:rsid w:val="00B22DD5"/>
    <w:rsid w:val="00B23A1E"/>
    <w:rsid w:val="00B41A56"/>
    <w:rsid w:val="00B43442"/>
    <w:rsid w:val="00B43B7C"/>
    <w:rsid w:val="00B45396"/>
    <w:rsid w:val="00B5132A"/>
    <w:rsid w:val="00B562FF"/>
    <w:rsid w:val="00B637CD"/>
    <w:rsid w:val="00B6763E"/>
    <w:rsid w:val="00B74C49"/>
    <w:rsid w:val="00B77AAD"/>
    <w:rsid w:val="00B828BC"/>
    <w:rsid w:val="00B940B5"/>
    <w:rsid w:val="00BA1BE9"/>
    <w:rsid w:val="00BA2F25"/>
    <w:rsid w:val="00BA421A"/>
    <w:rsid w:val="00BA7792"/>
    <w:rsid w:val="00BC2143"/>
    <w:rsid w:val="00BC24DA"/>
    <w:rsid w:val="00BC634B"/>
    <w:rsid w:val="00BF6206"/>
    <w:rsid w:val="00BF6C5C"/>
    <w:rsid w:val="00C03DC9"/>
    <w:rsid w:val="00C1119E"/>
    <w:rsid w:val="00C24BBD"/>
    <w:rsid w:val="00C26946"/>
    <w:rsid w:val="00C278F1"/>
    <w:rsid w:val="00C54346"/>
    <w:rsid w:val="00C55C89"/>
    <w:rsid w:val="00C72D79"/>
    <w:rsid w:val="00C80322"/>
    <w:rsid w:val="00C90313"/>
    <w:rsid w:val="00C929F8"/>
    <w:rsid w:val="00CA246E"/>
    <w:rsid w:val="00CB1A56"/>
    <w:rsid w:val="00CC3CDB"/>
    <w:rsid w:val="00CF6CCC"/>
    <w:rsid w:val="00D051D2"/>
    <w:rsid w:val="00D060E9"/>
    <w:rsid w:val="00D06DC6"/>
    <w:rsid w:val="00D17E9F"/>
    <w:rsid w:val="00D37A56"/>
    <w:rsid w:val="00D51431"/>
    <w:rsid w:val="00D53C1A"/>
    <w:rsid w:val="00D547A1"/>
    <w:rsid w:val="00D557F5"/>
    <w:rsid w:val="00D56767"/>
    <w:rsid w:val="00D75427"/>
    <w:rsid w:val="00DB6961"/>
    <w:rsid w:val="00DD29FF"/>
    <w:rsid w:val="00DD4791"/>
    <w:rsid w:val="00DD4966"/>
    <w:rsid w:val="00DD690B"/>
    <w:rsid w:val="00DD6A51"/>
    <w:rsid w:val="00DE0001"/>
    <w:rsid w:val="00DE3E67"/>
    <w:rsid w:val="00E03068"/>
    <w:rsid w:val="00E03460"/>
    <w:rsid w:val="00E04243"/>
    <w:rsid w:val="00E04F25"/>
    <w:rsid w:val="00E10FD6"/>
    <w:rsid w:val="00E125BE"/>
    <w:rsid w:val="00E1399E"/>
    <w:rsid w:val="00E250A0"/>
    <w:rsid w:val="00E271C9"/>
    <w:rsid w:val="00E309EE"/>
    <w:rsid w:val="00E41BB9"/>
    <w:rsid w:val="00E80BED"/>
    <w:rsid w:val="00E86405"/>
    <w:rsid w:val="00E94ABD"/>
    <w:rsid w:val="00EA0E86"/>
    <w:rsid w:val="00EB1664"/>
    <w:rsid w:val="00EC4C46"/>
    <w:rsid w:val="00ED4539"/>
    <w:rsid w:val="00F01920"/>
    <w:rsid w:val="00F1012C"/>
    <w:rsid w:val="00F14902"/>
    <w:rsid w:val="00F15C73"/>
    <w:rsid w:val="00F20139"/>
    <w:rsid w:val="00F56EE0"/>
    <w:rsid w:val="00F6343D"/>
    <w:rsid w:val="00F84ABE"/>
    <w:rsid w:val="00FA4B7C"/>
    <w:rsid w:val="00FA7596"/>
    <w:rsid w:val="00FB39D9"/>
    <w:rsid w:val="00FB41B9"/>
    <w:rsid w:val="00FB5D66"/>
    <w:rsid w:val="00FB61D7"/>
    <w:rsid w:val="00FC5AB1"/>
    <w:rsid w:val="00FD20BA"/>
    <w:rsid w:val="00FF69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D06D"/>
  <w15:chartTrackingRefBased/>
  <w15:docId w15:val="{0DFC02F7-A47C-40E4-A68C-E9C7F48F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77AAD"/>
    <w:pPr>
      <w:numPr>
        <w:numId w:val="3"/>
      </w:numPr>
      <w:spacing w:before="100" w:beforeAutospacing="1" w:after="100" w:afterAutospacing="1" w:line="360" w:lineRule="auto"/>
      <w:contextualSpacing/>
      <w:jc w:val="both"/>
      <w:outlineLvl w:val="0"/>
    </w:pPr>
    <w:rPr>
      <w:rFonts w:ascii="Times New Roman" w:eastAsia="Times New Roman" w:hAnsi="Times New Roman" w:cs="Times New Roman"/>
      <w:b/>
      <w:bCs/>
      <w:sz w:val="24"/>
      <w:szCs w:val="24"/>
      <w:lang w:eastAsia="pl-PL"/>
    </w:rPr>
  </w:style>
  <w:style w:type="paragraph" w:styleId="Nagwek2">
    <w:name w:val="heading 2"/>
    <w:basedOn w:val="Nagwek1"/>
    <w:link w:val="Nagwek2Znak"/>
    <w:uiPriority w:val="9"/>
    <w:qFormat/>
    <w:rsid w:val="00B77AAD"/>
    <w:pPr>
      <w:numPr>
        <w:ilvl w:val="1"/>
      </w:numPr>
      <w:outlineLvl w:val="1"/>
    </w:pPr>
  </w:style>
  <w:style w:type="paragraph" w:styleId="Nagwek3">
    <w:name w:val="heading 3"/>
    <w:basedOn w:val="Normalny"/>
    <w:link w:val="Nagwek3Znak"/>
    <w:uiPriority w:val="9"/>
    <w:qFormat/>
    <w:rsid w:val="00703E76"/>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703E76"/>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03E76"/>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703E76"/>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703E7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703E76"/>
    <w:rPr>
      <w:i/>
      <w:iCs/>
    </w:rPr>
  </w:style>
  <w:style w:type="character" w:styleId="Pogrubienie">
    <w:name w:val="Strong"/>
    <w:basedOn w:val="Domylnaczcionkaakapitu"/>
    <w:uiPriority w:val="22"/>
    <w:qFormat/>
    <w:rsid w:val="00703E76"/>
    <w:rPr>
      <w:b/>
      <w:bCs/>
    </w:rPr>
  </w:style>
  <w:style w:type="character" w:customStyle="1" w:styleId="Nagwek2Znak">
    <w:name w:val="Nagłówek 2 Znak"/>
    <w:basedOn w:val="Domylnaczcionkaakapitu"/>
    <w:link w:val="Nagwek2"/>
    <w:uiPriority w:val="9"/>
    <w:rsid w:val="00B77AAD"/>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D547A1"/>
    <w:pPr>
      <w:numPr>
        <w:numId w:val="1"/>
      </w:numPr>
      <w:spacing w:before="100" w:beforeAutospacing="1" w:after="100" w:afterAutospacing="1" w:line="360" w:lineRule="auto"/>
      <w:ind w:firstLine="709"/>
      <w:contextualSpacing/>
      <w:jc w:val="both"/>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BA2F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A2F25"/>
    <w:rPr>
      <w:rFonts w:ascii="Segoe UI" w:hAnsi="Segoe UI" w:cs="Segoe UI"/>
      <w:sz w:val="18"/>
      <w:szCs w:val="18"/>
    </w:rPr>
  </w:style>
  <w:style w:type="paragraph" w:styleId="Tekstprzypisudolnego">
    <w:name w:val="footnote text"/>
    <w:basedOn w:val="Normalny"/>
    <w:link w:val="TekstprzypisudolnegoZnak"/>
    <w:uiPriority w:val="99"/>
    <w:unhideWhenUsed/>
    <w:rsid w:val="00BA2F2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A2F25"/>
    <w:rPr>
      <w:sz w:val="20"/>
      <w:szCs w:val="20"/>
    </w:rPr>
  </w:style>
  <w:style w:type="character" w:styleId="Odwoanieprzypisudolnego">
    <w:name w:val="footnote reference"/>
    <w:basedOn w:val="Domylnaczcionkaakapitu"/>
    <w:uiPriority w:val="99"/>
    <w:unhideWhenUsed/>
    <w:rsid w:val="00BA2F25"/>
    <w:rPr>
      <w:vertAlign w:val="superscript"/>
    </w:rPr>
  </w:style>
  <w:style w:type="character" w:styleId="Odwoaniedokomentarza">
    <w:name w:val="annotation reference"/>
    <w:basedOn w:val="Domylnaczcionkaakapitu"/>
    <w:uiPriority w:val="99"/>
    <w:semiHidden/>
    <w:unhideWhenUsed/>
    <w:rsid w:val="00BA2F25"/>
    <w:rPr>
      <w:sz w:val="16"/>
      <w:szCs w:val="16"/>
    </w:rPr>
  </w:style>
  <w:style w:type="paragraph" w:styleId="Tekstkomentarza">
    <w:name w:val="annotation text"/>
    <w:basedOn w:val="Normalny"/>
    <w:link w:val="TekstkomentarzaZnak"/>
    <w:uiPriority w:val="99"/>
    <w:semiHidden/>
    <w:unhideWhenUsed/>
    <w:rsid w:val="00BA2F2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A2F25"/>
    <w:rPr>
      <w:sz w:val="20"/>
      <w:szCs w:val="20"/>
    </w:rPr>
  </w:style>
  <w:style w:type="paragraph" w:styleId="Tematkomentarza">
    <w:name w:val="annotation subject"/>
    <w:basedOn w:val="Tekstkomentarza"/>
    <w:next w:val="Tekstkomentarza"/>
    <w:link w:val="TematkomentarzaZnak"/>
    <w:uiPriority w:val="99"/>
    <w:semiHidden/>
    <w:unhideWhenUsed/>
    <w:rsid w:val="00BA2F25"/>
    <w:rPr>
      <w:b/>
      <w:bCs/>
    </w:rPr>
  </w:style>
  <w:style w:type="character" w:customStyle="1" w:styleId="TematkomentarzaZnak">
    <w:name w:val="Temat komentarza Znak"/>
    <w:basedOn w:val="TekstkomentarzaZnak"/>
    <w:link w:val="Tematkomentarza"/>
    <w:uiPriority w:val="99"/>
    <w:semiHidden/>
    <w:rsid w:val="00BA2F25"/>
    <w:rPr>
      <w:b/>
      <w:bCs/>
      <w:sz w:val="20"/>
      <w:szCs w:val="20"/>
    </w:rPr>
  </w:style>
  <w:style w:type="character" w:styleId="Hipercze">
    <w:name w:val="Hyperlink"/>
    <w:basedOn w:val="Domylnaczcionkaakapitu"/>
    <w:uiPriority w:val="99"/>
    <w:semiHidden/>
    <w:unhideWhenUsed/>
    <w:rsid w:val="00BA2F25"/>
    <w:rPr>
      <w:color w:val="0000FF"/>
      <w:u w:val="single"/>
    </w:rPr>
  </w:style>
  <w:style w:type="character" w:styleId="UyteHipercze">
    <w:name w:val="FollowedHyperlink"/>
    <w:basedOn w:val="Domylnaczcionkaakapitu"/>
    <w:uiPriority w:val="99"/>
    <w:semiHidden/>
    <w:unhideWhenUsed/>
    <w:rsid w:val="00BA2F25"/>
    <w:rPr>
      <w:color w:val="954F72" w:themeColor="followedHyperlink"/>
      <w:u w:val="single"/>
    </w:rPr>
  </w:style>
  <w:style w:type="paragraph" w:customStyle="1" w:styleId="Normalny1">
    <w:name w:val="Normalny1"/>
    <w:basedOn w:val="Normalny"/>
    <w:rsid w:val="00BA2F2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ny"/>
    <w:rsid w:val="00BA2F2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BA2F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F25"/>
  </w:style>
  <w:style w:type="paragraph" w:styleId="Stopka">
    <w:name w:val="footer"/>
    <w:basedOn w:val="Normalny"/>
    <w:link w:val="StopkaZnak"/>
    <w:uiPriority w:val="99"/>
    <w:unhideWhenUsed/>
    <w:rsid w:val="00BA2F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F25"/>
  </w:style>
  <w:style w:type="paragraph" w:styleId="Bibliografia">
    <w:name w:val="Bibliography"/>
    <w:basedOn w:val="Normalny"/>
    <w:next w:val="Normalny"/>
    <w:uiPriority w:val="37"/>
    <w:unhideWhenUsed/>
    <w:rsid w:val="00BA2F25"/>
    <w:pPr>
      <w:spacing w:after="0" w:line="240" w:lineRule="auto"/>
      <w:ind w:left="720" w:hanging="720"/>
    </w:pPr>
  </w:style>
  <w:style w:type="character" w:customStyle="1" w:styleId="Nagwek1Znak">
    <w:name w:val="Nagłówek 1 Znak"/>
    <w:basedOn w:val="Domylnaczcionkaakapitu"/>
    <w:link w:val="Nagwek1"/>
    <w:uiPriority w:val="9"/>
    <w:rsid w:val="00B77AAD"/>
    <w:rPr>
      <w:rFonts w:ascii="Times New Roman" w:eastAsia="Times New Roman" w:hAnsi="Times New Roman" w:cs="Times New Roman"/>
      <w:b/>
      <w:bCs/>
      <w:sz w:val="24"/>
      <w:szCs w:val="24"/>
      <w:lang w:eastAsia="pl-PL"/>
    </w:rPr>
  </w:style>
  <w:style w:type="paragraph" w:customStyle="1" w:styleId="listamylnik">
    <w:name w:val="lista myślnik"/>
    <w:basedOn w:val="Normalny"/>
    <w:link w:val="listamylnikZnak"/>
    <w:qFormat/>
    <w:rsid w:val="00D547A1"/>
    <w:pPr>
      <w:numPr>
        <w:numId w:val="2"/>
      </w:numPr>
      <w:tabs>
        <w:tab w:val="clear" w:pos="0"/>
        <w:tab w:val="num" w:pos="709"/>
      </w:tabs>
      <w:spacing w:before="100" w:beforeAutospacing="1" w:after="100" w:afterAutospacing="1" w:line="360" w:lineRule="auto"/>
      <w:ind w:left="709"/>
      <w:contextualSpacing/>
      <w:jc w:val="both"/>
    </w:pPr>
    <w:rPr>
      <w:rFonts w:ascii="Times New Roman" w:eastAsia="Times New Roman" w:hAnsi="Times New Roman" w:cs="Times New Roman"/>
      <w:sz w:val="24"/>
      <w:szCs w:val="24"/>
      <w:lang w:eastAsia="pl-PL"/>
    </w:rPr>
  </w:style>
  <w:style w:type="character" w:customStyle="1" w:styleId="listamylnikZnak">
    <w:name w:val="lista myślnik Znak"/>
    <w:basedOn w:val="Domylnaczcionkaakapitu"/>
    <w:link w:val="listamylnik"/>
    <w:rsid w:val="00D547A1"/>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366020"/>
    <w:rPr>
      <w:vertAlign w:val="superscript"/>
    </w:rPr>
  </w:style>
  <w:style w:type="character" w:customStyle="1" w:styleId="overflow-hidden">
    <w:name w:val="overflow-hidden"/>
    <w:basedOn w:val="Domylnaczcionkaakapitu"/>
    <w:rsid w:val="00AD6B74"/>
  </w:style>
  <w:style w:type="paragraph" w:styleId="Poprawka">
    <w:name w:val="Revision"/>
    <w:hidden/>
    <w:uiPriority w:val="99"/>
    <w:semiHidden/>
    <w:rsid w:val="005236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079">
      <w:bodyDiv w:val="1"/>
      <w:marLeft w:val="0"/>
      <w:marRight w:val="0"/>
      <w:marTop w:val="0"/>
      <w:marBottom w:val="0"/>
      <w:divBdr>
        <w:top w:val="none" w:sz="0" w:space="0" w:color="auto"/>
        <w:left w:val="none" w:sz="0" w:space="0" w:color="auto"/>
        <w:bottom w:val="none" w:sz="0" w:space="0" w:color="auto"/>
        <w:right w:val="none" w:sz="0" w:space="0" w:color="auto"/>
      </w:divBdr>
    </w:div>
    <w:div w:id="67384633">
      <w:bodyDiv w:val="1"/>
      <w:marLeft w:val="0"/>
      <w:marRight w:val="0"/>
      <w:marTop w:val="0"/>
      <w:marBottom w:val="0"/>
      <w:divBdr>
        <w:top w:val="none" w:sz="0" w:space="0" w:color="auto"/>
        <w:left w:val="none" w:sz="0" w:space="0" w:color="auto"/>
        <w:bottom w:val="none" w:sz="0" w:space="0" w:color="auto"/>
        <w:right w:val="none" w:sz="0" w:space="0" w:color="auto"/>
      </w:divBdr>
    </w:div>
    <w:div w:id="96215918">
      <w:bodyDiv w:val="1"/>
      <w:marLeft w:val="0"/>
      <w:marRight w:val="0"/>
      <w:marTop w:val="0"/>
      <w:marBottom w:val="0"/>
      <w:divBdr>
        <w:top w:val="none" w:sz="0" w:space="0" w:color="auto"/>
        <w:left w:val="none" w:sz="0" w:space="0" w:color="auto"/>
        <w:bottom w:val="none" w:sz="0" w:space="0" w:color="auto"/>
        <w:right w:val="none" w:sz="0" w:space="0" w:color="auto"/>
      </w:divBdr>
    </w:div>
    <w:div w:id="118228751">
      <w:bodyDiv w:val="1"/>
      <w:marLeft w:val="0"/>
      <w:marRight w:val="0"/>
      <w:marTop w:val="0"/>
      <w:marBottom w:val="0"/>
      <w:divBdr>
        <w:top w:val="none" w:sz="0" w:space="0" w:color="auto"/>
        <w:left w:val="none" w:sz="0" w:space="0" w:color="auto"/>
        <w:bottom w:val="none" w:sz="0" w:space="0" w:color="auto"/>
        <w:right w:val="none" w:sz="0" w:space="0" w:color="auto"/>
      </w:divBdr>
    </w:div>
    <w:div w:id="152911488">
      <w:bodyDiv w:val="1"/>
      <w:marLeft w:val="0"/>
      <w:marRight w:val="0"/>
      <w:marTop w:val="0"/>
      <w:marBottom w:val="0"/>
      <w:divBdr>
        <w:top w:val="none" w:sz="0" w:space="0" w:color="auto"/>
        <w:left w:val="none" w:sz="0" w:space="0" w:color="auto"/>
        <w:bottom w:val="none" w:sz="0" w:space="0" w:color="auto"/>
        <w:right w:val="none" w:sz="0" w:space="0" w:color="auto"/>
      </w:divBdr>
    </w:div>
    <w:div w:id="173109542">
      <w:bodyDiv w:val="1"/>
      <w:marLeft w:val="0"/>
      <w:marRight w:val="0"/>
      <w:marTop w:val="0"/>
      <w:marBottom w:val="0"/>
      <w:divBdr>
        <w:top w:val="none" w:sz="0" w:space="0" w:color="auto"/>
        <w:left w:val="none" w:sz="0" w:space="0" w:color="auto"/>
        <w:bottom w:val="none" w:sz="0" w:space="0" w:color="auto"/>
        <w:right w:val="none" w:sz="0" w:space="0" w:color="auto"/>
      </w:divBdr>
      <w:divsChild>
        <w:div w:id="1002514779">
          <w:marLeft w:val="0"/>
          <w:marRight w:val="0"/>
          <w:marTop w:val="0"/>
          <w:marBottom w:val="0"/>
          <w:divBdr>
            <w:top w:val="none" w:sz="0" w:space="0" w:color="auto"/>
            <w:left w:val="none" w:sz="0" w:space="0" w:color="auto"/>
            <w:bottom w:val="none" w:sz="0" w:space="0" w:color="auto"/>
            <w:right w:val="none" w:sz="0" w:space="0" w:color="auto"/>
          </w:divBdr>
          <w:divsChild>
            <w:div w:id="1551066794">
              <w:marLeft w:val="0"/>
              <w:marRight w:val="0"/>
              <w:marTop w:val="0"/>
              <w:marBottom w:val="0"/>
              <w:divBdr>
                <w:top w:val="none" w:sz="0" w:space="0" w:color="auto"/>
                <w:left w:val="none" w:sz="0" w:space="0" w:color="auto"/>
                <w:bottom w:val="none" w:sz="0" w:space="0" w:color="auto"/>
                <w:right w:val="none" w:sz="0" w:space="0" w:color="auto"/>
              </w:divBdr>
              <w:divsChild>
                <w:div w:id="1930698613">
                  <w:marLeft w:val="0"/>
                  <w:marRight w:val="0"/>
                  <w:marTop w:val="0"/>
                  <w:marBottom w:val="0"/>
                  <w:divBdr>
                    <w:top w:val="none" w:sz="0" w:space="0" w:color="auto"/>
                    <w:left w:val="none" w:sz="0" w:space="0" w:color="auto"/>
                    <w:bottom w:val="none" w:sz="0" w:space="0" w:color="auto"/>
                    <w:right w:val="none" w:sz="0" w:space="0" w:color="auto"/>
                  </w:divBdr>
                  <w:divsChild>
                    <w:div w:id="947859499">
                      <w:marLeft w:val="0"/>
                      <w:marRight w:val="0"/>
                      <w:marTop w:val="0"/>
                      <w:marBottom w:val="0"/>
                      <w:divBdr>
                        <w:top w:val="none" w:sz="0" w:space="0" w:color="auto"/>
                        <w:left w:val="none" w:sz="0" w:space="0" w:color="auto"/>
                        <w:bottom w:val="none" w:sz="0" w:space="0" w:color="auto"/>
                        <w:right w:val="none" w:sz="0" w:space="0" w:color="auto"/>
                      </w:divBdr>
                      <w:divsChild>
                        <w:div w:id="1705910549">
                          <w:marLeft w:val="0"/>
                          <w:marRight w:val="0"/>
                          <w:marTop w:val="0"/>
                          <w:marBottom w:val="0"/>
                          <w:divBdr>
                            <w:top w:val="none" w:sz="0" w:space="0" w:color="auto"/>
                            <w:left w:val="none" w:sz="0" w:space="0" w:color="auto"/>
                            <w:bottom w:val="none" w:sz="0" w:space="0" w:color="auto"/>
                            <w:right w:val="none" w:sz="0" w:space="0" w:color="auto"/>
                          </w:divBdr>
                          <w:divsChild>
                            <w:div w:id="5209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6123">
                      <w:marLeft w:val="0"/>
                      <w:marRight w:val="0"/>
                      <w:marTop w:val="0"/>
                      <w:marBottom w:val="0"/>
                      <w:divBdr>
                        <w:top w:val="none" w:sz="0" w:space="0" w:color="auto"/>
                        <w:left w:val="none" w:sz="0" w:space="0" w:color="auto"/>
                        <w:bottom w:val="none" w:sz="0" w:space="0" w:color="auto"/>
                        <w:right w:val="none" w:sz="0" w:space="0" w:color="auto"/>
                      </w:divBdr>
                      <w:divsChild>
                        <w:div w:id="11350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926711">
      <w:bodyDiv w:val="1"/>
      <w:marLeft w:val="0"/>
      <w:marRight w:val="0"/>
      <w:marTop w:val="0"/>
      <w:marBottom w:val="0"/>
      <w:divBdr>
        <w:top w:val="none" w:sz="0" w:space="0" w:color="auto"/>
        <w:left w:val="none" w:sz="0" w:space="0" w:color="auto"/>
        <w:bottom w:val="none" w:sz="0" w:space="0" w:color="auto"/>
        <w:right w:val="none" w:sz="0" w:space="0" w:color="auto"/>
      </w:divBdr>
    </w:div>
    <w:div w:id="274138565">
      <w:bodyDiv w:val="1"/>
      <w:marLeft w:val="0"/>
      <w:marRight w:val="0"/>
      <w:marTop w:val="0"/>
      <w:marBottom w:val="0"/>
      <w:divBdr>
        <w:top w:val="none" w:sz="0" w:space="0" w:color="auto"/>
        <w:left w:val="none" w:sz="0" w:space="0" w:color="auto"/>
        <w:bottom w:val="none" w:sz="0" w:space="0" w:color="auto"/>
        <w:right w:val="none" w:sz="0" w:space="0" w:color="auto"/>
      </w:divBdr>
    </w:div>
    <w:div w:id="339503385">
      <w:bodyDiv w:val="1"/>
      <w:marLeft w:val="0"/>
      <w:marRight w:val="0"/>
      <w:marTop w:val="0"/>
      <w:marBottom w:val="0"/>
      <w:divBdr>
        <w:top w:val="none" w:sz="0" w:space="0" w:color="auto"/>
        <w:left w:val="none" w:sz="0" w:space="0" w:color="auto"/>
        <w:bottom w:val="none" w:sz="0" w:space="0" w:color="auto"/>
        <w:right w:val="none" w:sz="0" w:space="0" w:color="auto"/>
      </w:divBdr>
    </w:div>
    <w:div w:id="386686314">
      <w:bodyDiv w:val="1"/>
      <w:marLeft w:val="0"/>
      <w:marRight w:val="0"/>
      <w:marTop w:val="0"/>
      <w:marBottom w:val="0"/>
      <w:divBdr>
        <w:top w:val="none" w:sz="0" w:space="0" w:color="auto"/>
        <w:left w:val="none" w:sz="0" w:space="0" w:color="auto"/>
        <w:bottom w:val="none" w:sz="0" w:space="0" w:color="auto"/>
        <w:right w:val="none" w:sz="0" w:space="0" w:color="auto"/>
      </w:divBdr>
    </w:div>
    <w:div w:id="557324649">
      <w:bodyDiv w:val="1"/>
      <w:marLeft w:val="0"/>
      <w:marRight w:val="0"/>
      <w:marTop w:val="0"/>
      <w:marBottom w:val="0"/>
      <w:divBdr>
        <w:top w:val="none" w:sz="0" w:space="0" w:color="auto"/>
        <w:left w:val="none" w:sz="0" w:space="0" w:color="auto"/>
        <w:bottom w:val="none" w:sz="0" w:space="0" w:color="auto"/>
        <w:right w:val="none" w:sz="0" w:space="0" w:color="auto"/>
      </w:divBdr>
      <w:divsChild>
        <w:div w:id="1298101093">
          <w:marLeft w:val="0"/>
          <w:marRight w:val="0"/>
          <w:marTop w:val="0"/>
          <w:marBottom w:val="0"/>
          <w:divBdr>
            <w:top w:val="none" w:sz="0" w:space="0" w:color="auto"/>
            <w:left w:val="none" w:sz="0" w:space="0" w:color="auto"/>
            <w:bottom w:val="none" w:sz="0" w:space="0" w:color="auto"/>
            <w:right w:val="none" w:sz="0" w:space="0" w:color="auto"/>
          </w:divBdr>
          <w:divsChild>
            <w:div w:id="1811482860">
              <w:marLeft w:val="0"/>
              <w:marRight w:val="0"/>
              <w:marTop w:val="0"/>
              <w:marBottom w:val="0"/>
              <w:divBdr>
                <w:top w:val="none" w:sz="0" w:space="0" w:color="auto"/>
                <w:left w:val="none" w:sz="0" w:space="0" w:color="auto"/>
                <w:bottom w:val="none" w:sz="0" w:space="0" w:color="auto"/>
                <w:right w:val="none" w:sz="0" w:space="0" w:color="auto"/>
              </w:divBdr>
              <w:divsChild>
                <w:div w:id="990327307">
                  <w:marLeft w:val="0"/>
                  <w:marRight w:val="0"/>
                  <w:marTop w:val="0"/>
                  <w:marBottom w:val="0"/>
                  <w:divBdr>
                    <w:top w:val="none" w:sz="0" w:space="0" w:color="auto"/>
                    <w:left w:val="none" w:sz="0" w:space="0" w:color="auto"/>
                    <w:bottom w:val="none" w:sz="0" w:space="0" w:color="auto"/>
                    <w:right w:val="none" w:sz="0" w:space="0" w:color="auto"/>
                  </w:divBdr>
                  <w:divsChild>
                    <w:div w:id="1879002179">
                      <w:marLeft w:val="0"/>
                      <w:marRight w:val="0"/>
                      <w:marTop w:val="0"/>
                      <w:marBottom w:val="0"/>
                      <w:divBdr>
                        <w:top w:val="none" w:sz="0" w:space="0" w:color="auto"/>
                        <w:left w:val="none" w:sz="0" w:space="0" w:color="auto"/>
                        <w:bottom w:val="none" w:sz="0" w:space="0" w:color="auto"/>
                        <w:right w:val="none" w:sz="0" w:space="0" w:color="auto"/>
                      </w:divBdr>
                      <w:divsChild>
                        <w:div w:id="702095065">
                          <w:marLeft w:val="0"/>
                          <w:marRight w:val="0"/>
                          <w:marTop w:val="0"/>
                          <w:marBottom w:val="0"/>
                          <w:divBdr>
                            <w:top w:val="none" w:sz="0" w:space="0" w:color="auto"/>
                            <w:left w:val="none" w:sz="0" w:space="0" w:color="auto"/>
                            <w:bottom w:val="none" w:sz="0" w:space="0" w:color="auto"/>
                            <w:right w:val="none" w:sz="0" w:space="0" w:color="auto"/>
                          </w:divBdr>
                          <w:divsChild>
                            <w:div w:id="10831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447455">
      <w:bodyDiv w:val="1"/>
      <w:marLeft w:val="0"/>
      <w:marRight w:val="0"/>
      <w:marTop w:val="0"/>
      <w:marBottom w:val="0"/>
      <w:divBdr>
        <w:top w:val="none" w:sz="0" w:space="0" w:color="auto"/>
        <w:left w:val="none" w:sz="0" w:space="0" w:color="auto"/>
        <w:bottom w:val="none" w:sz="0" w:space="0" w:color="auto"/>
        <w:right w:val="none" w:sz="0" w:space="0" w:color="auto"/>
      </w:divBdr>
      <w:divsChild>
        <w:div w:id="1371997685">
          <w:marLeft w:val="0"/>
          <w:marRight w:val="0"/>
          <w:marTop w:val="0"/>
          <w:marBottom w:val="0"/>
          <w:divBdr>
            <w:top w:val="none" w:sz="0" w:space="0" w:color="auto"/>
            <w:left w:val="none" w:sz="0" w:space="0" w:color="auto"/>
            <w:bottom w:val="none" w:sz="0" w:space="0" w:color="auto"/>
            <w:right w:val="none" w:sz="0" w:space="0" w:color="auto"/>
          </w:divBdr>
          <w:divsChild>
            <w:div w:id="2129811231">
              <w:marLeft w:val="0"/>
              <w:marRight w:val="0"/>
              <w:marTop w:val="0"/>
              <w:marBottom w:val="0"/>
              <w:divBdr>
                <w:top w:val="none" w:sz="0" w:space="0" w:color="auto"/>
                <w:left w:val="none" w:sz="0" w:space="0" w:color="auto"/>
                <w:bottom w:val="none" w:sz="0" w:space="0" w:color="auto"/>
                <w:right w:val="none" w:sz="0" w:space="0" w:color="auto"/>
              </w:divBdr>
              <w:divsChild>
                <w:div w:id="43650826">
                  <w:marLeft w:val="0"/>
                  <w:marRight w:val="0"/>
                  <w:marTop w:val="0"/>
                  <w:marBottom w:val="0"/>
                  <w:divBdr>
                    <w:top w:val="none" w:sz="0" w:space="0" w:color="auto"/>
                    <w:left w:val="none" w:sz="0" w:space="0" w:color="auto"/>
                    <w:bottom w:val="none" w:sz="0" w:space="0" w:color="auto"/>
                    <w:right w:val="none" w:sz="0" w:space="0" w:color="auto"/>
                  </w:divBdr>
                  <w:divsChild>
                    <w:div w:id="11565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91835">
          <w:marLeft w:val="0"/>
          <w:marRight w:val="0"/>
          <w:marTop w:val="0"/>
          <w:marBottom w:val="0"/>
          <w:divBdr>
            <w:top w:val="none" w:sz="0" w:space="0" w:color="auto"/>
            <w:left w:val="none" w:sz="0" w:space="0" w:color="auto"/>
            <w:bottom w:val="none" w:sz="0" w:space="0" w:color="auto"/>
            <w:right w:val="none" w:sz="0" w:space="0" w:color="auto"/>
          </w:divBdr>
          <w:divsChild>
            <w:div w:id="2064407108">
              <w:marLeft w:val="0"/>
              <w:marRight w:val="0"/>
              <w:marTop w:val="0"/>
              <w:marBottom w:val="0"/>
              <w:divBdr>
                <w:top w:val="none" w:sz="0" w:space="0" w:color="auto"/>
                <w:left w:val="none" w:sz="0" w:space="0" w:color="auto"/>
                <w:bottom w:val="none" w:sz="0" w:space="0" w:color="auto"/>
                <w:right w:val="none" w:sz="0" w:space="0" w:color="auto"/>
              </w:divBdr>
              <w:divsChild>
                <w:div w:id="1102991519">
                  <w:marLeft w:val="0"/>
                  <w:marRight w:val="0"/>
                  <w:marTop w:val="0"/>
                  <w:marBottom w:val="0"/>
                  <w:divBdr>
                    <w:top w:val="none" w:sz="0" w:space="0" w:color="auto"/>
                    <w:left w:val="none" w:sz="0" w:space="0" w:color="auto"/>
                    <w:bottom w:val="none" w:sz="0" w:space="0" w:color="auto"/>
                    <w:right w:val="none" w:sz="0" w:space="0" w:color="auto"/>
                  </w:divBdr>
                  <w:divsChild>
                    <w:div w:id="4627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486530">
      <w:bodyDiv w:val="1"/>
      <w:marLeft w:val="0"/>
      <w:marRight w:val="0"/>
      <w:marTop w:val="0"/>
      <w:marBottom w:val="0"/>
      <w:divBdr>
        <w:top w:val="none" w:sz="0" w:space="0" w:color="auto"/>
        <w:left w:val="none" w:sz="0" w:space="0" w:color="auto"/>
        <w:bottom w:val="none" w:sz="0" w:space="0" w:color="auto"/>
        <w:right w:val="none" w:sz="0" w:space="0" w:color="auto"/>
      </w:divBdr>
      <w:divsChild>
        <w:div w:id="1483153571">
          <w:marLeft w:val="0"/>
          <w:marRight w:val="0"/>
          <w:marTop w:val="0"/>
          <w:marBottom w:val="0"/>
          <w:divBdr>
            <w:top w:val="none" w:sz="0" w:space="0" w:color="auto"/>
            <w:left w:val="none" w:sz="0" w:space="0" w:color="auto"/>
            <w:bottom w:val="none" w:sz="0" w:space="0" w:color="auto"/>
            <w:right w:val="none" w:sz="0" w:space="0" w:color="auto"/>
          </w:divBdr>
          <w:divsChild>
            <w:div w:id="295643448">
              <w:marLeft w:val="0"/>
              <w:marRight w:val="0"/>
              <w:marTop w:val="0"/>
              <w:marBottom w:val="0"/>
              <w:divBdr>
                <w:top w:val="none" w:sz="0" w:space="0" w:color="auto"/>
                <w:left w:val="none" w:sz="0" w:space="0" w:color="auto"/>
                <w:bottom w:val="none" w:sz="0" w:space="0" w:color="auto"/>
                <w:right w:val="none" w:sz="0" w:space="0" w:color="auto"/>
              </w:divBdr>
              <w:divsChild>
                <w:div w:id="1069570315">
                  <w:marLeft w:val="0"/>
                  <w:marRight w:val="0"/>
                  <w:marTop w:val="0"/>
                  <w:marBottom w:val="0"/>
                  <w:divBdr>
                    <w:top w:val="none" w:sz="0" w:space="0" w:color="auto"/>
                    <w:left w:val="none" w:sz="0" w:space="0" w:color="auto"/>
                    <w:bottom w:val="none" w:sz="0" w:space="0" w:color="auto"/>
                    <w:right w:val="none" w:sz="0" w:space="0" w:color="auto"/>
                  </w:divBdr>
                  <w:divsChild>
                    <w:div w:id="800458641">
                      <w:marLeft w:val="0"/>
                      <w:marRight w:val="0"/>
                      <w:marTop w:val="0"/>
                      <w:marBottom w:val="0"/>
                      <w:divBdr>
                        <w:top w:val="none" w:sz="0" w:space="0" w:color="auto"/>
                        <w:left w:val="none" w:sz="0" w:space="0" w:color="auto"/>
                        <w:bottom w:val="none" w:sz="0" w:space="0" w:color="auto"/>
                        <w:right w:val="none" w:sz="0" w:space="0" w:color="auto"/>
                      </w:divBdr>
                      <w:divsChild>
                        <w:div w:id="1760641837">
                          <w:marLeft w:val="0"/>
                          <w:marRight w:val="0"/>
                          <w:marTop w:val="0"/>
                          <w:marBottom w:val="0"/>
                          <w:divBdr>
                            <w:top w:val="none" w:sz="0" w:space="0" w:color="auto"/>
                            <w:left w:val="none" w:sz="0" w:space="0" w:color="auto"/>
                            <w:bottom w:val="none" w:sz="0" w:space="0" w:color="auto"/>
                            <w:right w:val="none" w:sz="0" w:space="0" w:color="auto"/>
                          </w:divBdr>
                          <w:divsChild>
                            <w:div w:id="14178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905700">
      <w:bodyDiv w:val="1"/>
      <w:marLeft w:val="0"/>
      <w:marRight w:val="0"/>
      <w:marTop w:val="0"/>
      <w:marBottom w:val="0"/>
      <w:divBdr>
        <w:top w:val="none" w:sz="0" w:space="0" w:color="auto"/>
        <w:left w:val="none" w:sz="0" w:space="0" w:color="auto"/>
        <w:bottom w:val="none" w:sz="0" w:space="0" w:color="auto"/>
        <w:right w:val="none" w:sz="0" w:space="0" w:color="auto"/>
      </w:divBdr>
    </w:div>
    <w:div w:id="707527843">
      <w:bodyDiv w:val="1"/>
      <w:marLeft w:val="0"/>
      <w:marRight w:val="0"/>
      <w:marTop w:val="0"/>
      <w:marBottom w:val="0"/>
      <w:divBdr>
        <w:top w:val="none" w:sz="0" w:space="0" w:color="auto"/>
        <w:left w:val="none" w:sz="0" w:space="0" w:color="auto"/>
        <w:bottom w:val="none" w:sz="0" w:space="0" w:color="auto"/>
        <w:right w:val="none" w:sz="0" w:space="0" w:color="auto"/>
      </w:divBdr>
    </w:div>
    <w:div w:id="717514984">
      <w:bodyDiv w:val="1"/>
      <w:marLeft w:val="0"/>
      <w:marRight w:val="0"/>
      <w:marTop w:val="0"/>
      <w:marBottom w:val="0"/>
      <w:divBdr>
        <w:top w:val="none" w:sz="0" w:space="0" w:color="auto"/>
        <w:left w:val="none" w:sz="0" w:space="0" w:color="auto"/>
        <w:bottom w:val="none" w:sz="0" w:space="0" w:color="auto"/>
        <w:right w:val="none" w:sz="0" w:space="0" w:color="auto"/>
      </w:divBdr>
    </w:div>
    <w:div w:id="719940867">
      <w:bodyDiv w:val="1"/>
      <w:marLeft w:val="0"/>
      <w:marRight w:val="0"/>
      <w:marTop w:val="0"/>
      <w:marBottom w:val="0"/>
      <w:divBdr>
        <w:top w:val="none" w:sz="0" w:space="0" w:color="auto"/>
        <w:left w:val="none" w:sz="0" w:space="0" w:color="auto"/>
        <w:bottom w:val="none" w:sz="0" w:space="0" w:color="auto"/>
        <w:right w:val="none" w:sz="0" w:space="0" w:color="auto"/>
      </w:divBdr>
    </w:div>
    <w:div w:id="740373905">
      <w:bodyDiv w:val="1"/>
      <w:marLeft w:val="0"/>
      <w:marRight w:val="0"/>
      <w:marTop w:val="0"/>
      <w:marBottom w:val="0"/>
      <w:divBdr>
        <w:top w:val="none" w:sz="0" w:space="0" w:color="auto"/>
        <w:left w:val="none" w:sz="0" w:space="0" w:color="auto"/>
        <w:bottom w:val="none" w:sz="0" w:space="0" w:color="auto"/>
        <w:right w:val="none" w:sz="0" w:space="0" w:color="auto"/>
      </w:divBdr>
    </w:div>
    <w:div w:id="781221777">
      <w:bodyDiv w:val="1"/>
      <w:marLeft w:val="0"/>
      <w:marRight w:val="0"/>
      <w:marTop w:val="0"/>
      <w:marBottom w:val="0"/>
      <w:divBdr>
        <w:top w:val="none" w:sz="0" w:space="0" w:color="auto"/>
        <w:left w:val="none" w:sz="0" w:space="0" w:color="auto"/>
        <w:bottom w:val="none" w:sz="0" w:space="0" w:color="auto"/>
        <w:right w:val="none" w:sz="0" w:space="0" w:color="auto"/>
      </w:divBdr>
    </w:div>
    <w:div w:id="819033336">
      <w:bodyDiv w:val="1"/>
      <w:marLeft w:val="0"/>
      <w:marRight w:val="0"/>
      <w:marTop w:val="0"/>
      <w:marBottom w:val="0"/>
      <w:divBdr>
        <w:top w:val="none" w:sz="0" w:space="0" w:color="auto"/>
        <w:left w:val="none" w:sz="0" w:space="0" w:color="auto"/>
        <w:bottom w:val="none" w:sz="0" w:space="0" w:color="auto"/>
        <w:right w:val="none" w:sz="0" w:space="0" w:color="auto"/>
      </w:divBdr>
      <w:divsChild>
        <w:div w:id="591668304">
          <w:marLeft w:val="0"/>
          <w:marRight w:val="0"/>
          <w:marTop w:val="0"/>
          <w:marBottom w:val="0"/>
          <w:divBdr>
            <w:top w:val="none" w:sz="0" w:space="0" w:color="auto"/>
            <w:left w:val="none" w:sz="0" w:space="0" w:color="auto"/>
            <w:bottom w:val="none" w:sz="0" w:space="0" w:color="auto"/>
            <w:right w:val="none" w:sz="0" w:space="0" w:color="auto"/>
          </w:divBdr>
          <w:divsChild>
            <w:div w:id="566647175">
              <w:marLeft w:val="0"/>
              <w:marRight w:val="0"/>
              <w:marTop w:val="0"/>
              <w:marBottom w:val="0"/>
              <w:divBdr>
                <w:top w:val="none" w:sz="0" w:space="0" w:color="auto"/>
                <w:left w:val="none" w:sz="0" w:space="0" w:color="auto"/>
                <w:bottom w:val="none" w:sz="0" w:space="0" w:color="auto"/>
                <w:right w:val="none" w:sz="0" w:space="0" w:color="auto"/>
              </w:divBdr>
              <w:divsChild>
                <w:div w:id="1754353724">
                  <w:marLeft w:val="0"/>
                  <w:marRight w:val="0"/>
                  <w:marTop w:val="0"/>
                  <w:marBottom w:val="0"/>
                  <w:divBdr>
                    <w:top w:val="none" w:sz="0" w:space="0" w:color="auto"/>
                    <w:left w:val="none" w:sz="0" w:space="0" w:color="auto"/>
                    <w:bottom w:val="none" w:sz="0" w:space="0" w:color="auto"/>
                    <w:right w:val="none" w:sz="0" w:space="0" w:color="auto"/>
                  </w:divBdr>
                  <w:divsChild>
                    <w:div w:id="811171778">
                      <w:marLeft w:val="0"/>
                      <w:marRight w:val="0"/>
                      <w:marTop w:val="0"/>
                      <w:marBottom w:val="0"/>
                      <w:divBdr>
                        <w:top w:val="none" w:sz="0" w:space="0" w:color="auto"/>
                        <w:left w:val="none" w:sz="0" w:space="0" w:color="auto"/>
                        <w:bottom w:val="none" w:sz="0" w:space="0" w:color="auto"/>
                        <w:right w:val="none" w:sz="0" w:space="0" w:color="auto"/>
                      </w:divBdr>
                      <w:divsChild>
                        <w:div w:id="12459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698309">
      <w:bodyDiv w:val="1"/>
      <w:marLeft w:val="0"/>
      <w:marRight w:val="0"/>
      <w:marTop w:val="0"/>
      <w:marBottom w:val="0"/>
      <w:divBdr>
        <w:top w:val="none" w:sz="0" w:space="0" w:color="auto"/>
        <w:left w:val="none" w:sz="0" w:space="0" w:color="auto"/>
        <w:bottom w:val="none" w:sz="0" w:space="0" w:color="auto"/>
        <w:right w:val="none" w:sz="0" w:space="0" w:color="auto"/>
      </w:divBdr>
      <w:divsChild>
        <w:div w:id="1751192450">
          <w:marLeft w:val="0"/>
          <w:marRight w:val="0"/>
          <w:marTop w:val="0"/>
          <w:marBottom w:val="0"/>
          <w:divBdr>
            <w:top w:val="none" w:sz="0" w:space="0" w:color="auto"/>
            <w:left w:val="none" w:sz="0" w:space="0" w:color="auto"/>
            <w:bottom w:val="none" w:sz="0" w:space="0" w:color="auto"/>
            <w:right w:val="none" w:sz="0" w:space="0" w:color="auto"/>
          </w:divBdr>
          <w:divsChild>
            <w:div w:id="1914700649">
              <w:marLeft w:val="0"/>
              <w:marRight w:val="0"/>
              <w:marTop w:val="0"/>
              <w:marBottom w:val="0"/>
              <w:divBdr>
                <w:top w:val="none" w:sz="0" w:space="0" w:color="auto"/>
                <w:left w:val="none" w:sz="0" w:space="0" w:color="auto"/>
                <w:bottom w:val="none" w:sz="0" w:space="0" w:color="auto"/>
                <w:right w:val="none" w:sz="0" w:space="0" w:color="auto"/>
              </w:divBdr>
              <w:divsChild>
                <w:div w:id="435751089">
                  <w:marLeft w:val="0"/>
                  <w:marRight w:val="0"/>
                  <w:marTop w:val="0"/>
                  <w:marBottom w:val="0"/>
                  <w:divBdr>
                    <w:top w:val="none" w:sz="0" w:space="0" w:color="auto"/>
                    <w:left w:val="none" w:sz="0" w:space="0" w:color="auto"/>
                    <w:bottom w:val="none" w:sz="0" w:space="0" w:color="auto"/>
                    <w:right w:val="none" w:sz="0" w:space="0" w:color="auto"/>
                  </w:divBdr>
                  <w:divsChild>
                    <w:div w:id="1474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35615">
          <w:marLeft w:val="0"/>
          <w:marRight w:val="0"/>
          <w:marTop w:val="0"/>
          <w:marBottom w:val="0"/>
          <w:divBdr>
            <w:top w:val="none" w:sz="0" w:space="0" w:color="auto"/>
            <w:left w:val="none" w:sz="0" w:space="0" w:color="auto"/>
            <w:bottom w:val="none" w:sz="0" w:space="0" w:color="auto"/>
            <w:right w:val="none" w:sz="0" w:space="0" w:color="auto"/>
          </w:divBdr>
          <w:divsChild>
            <w:div w:id="1842349410">
              <w:marLeft w:val="0"/>
              <w:marRight w:val="0"/>
              <w:marTop w:val="0"/>
              <w:marBottom w:val="0"/>
              <w:divBdr>
                <w:top w:val="none" w:sz="0" w:space="0" w:color="auto"/>
                <w:left w:val="none" w:sz="0" w:space="0" w:color="auto"/>
                <w:bottom w:val="none" w:sz="0" w:space="0" w:color="auto"/>
                <w:right w:val="none" w:sz="0" w:space="0" w:color="auto"/>
              </w:divBdr>
              <w:divsChild>
                <w:div w:id="174462794">
                  <w:marLeft w:val="0"/>
                  <w:marRight w:val="0"/>
                  <w:marTop w:val="0"/>
                  <w:marBottom w:val="0"/>
                  <w:divBdr>
                    <w:top w:val="none" w:sz="0" w:space="0" w:color="auto"/>
                    <w:left w:val="none" w:sz="0" w:space="0" w:color="auto"/>
                    <w:bottom w:val="none" w:sz="0" w:space="0" w:color="auto"/>
                    <w:right w:val="none" w:sz="0" w:space="0" w:color="auto"/>
                  </w:divBdr>
                  <w:divsChild>
                    <w:div w:id="16869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47056">
      <w:bodyDiv w:val="1"/>
      <w:marLeft w:val="0"/>
      <w:marRight w:val="0"/>
      <w:marTop w:val="0"/>
      <w:marBottom w:val="0"/>
      <w:divBdr>
        <w:top w:val="none" w:sz="0" w:space="0" w:color="auto"/>
        <w:left w:val="none" w:sz="0" w:space="0" w:color="auto"/>
        <w:bottom w:val="none" w:sz="0" w:space="0" w:color="auto"/>
        <w:right w:val="none" w:sz="0" w:space="0" w:color="auto"/>
      </w:divBdr>
    </w:div>
    <w:div w:id="865408069">
      <w:bodyDiv w:val="1"/>
      <w:marLeft w:val="0"/>
      <w:marRight w:val="0"/>
      <w:marTop w:val="0"/>
      <w:marBottom w:val="0"/>
      <w:divBdr>
        <w:top w:val="none" w:sz="0" w:space="0" w:color="auto"/>
        <w:left w:val="none" w:sz="0" w:space="0" w:color="auto"/>
        <w:bottom w:val="none" w:sz="0" w:space="0" w:color="auto"/>
        <w:right w:val="none" w:sz="0" w:space="0" w:color="auto"/>
      </w:divBdr>
    </w:div>
    <w:div w:id="888996994">
      <w:bodyDiv w:val="1"/>
      <w:marLeft w:val="0"/>
      <w:marRight w:val="0"/>
      <w:marTop w:val="0"/>
      <w:marBottom w:val="0"/>
      <w:divBdr>
        <w:top w:val="none" w:sz="0" w:space="0" w:color="auto"/>
        <w:left w:val="none" w:sz="0" w:space="0" w:color="auto"/>
        <w:bottom w:val="none" w:sz="0" w:space="0" w:color="auto"/>
        <w:right w:val="none" w:sz="0" w:space="0" w:color="auto"/>
      </w:divBdr>
    </w:div>
    <w:div w:id="1056465113">
      <w:bodyDiv w:val="1"/>
      <w:marLeft w:val="0"/>
      <w:marRight w:val="0"/>
      <w:marTop w:val="0"/>
      <w:marBottom w:val="0"/>
      <w:divBdr>
        <w:top w:val="none" w:sz="0" w:space="0" w:color="auto"/>
        <w:left w:val="none" w:sz="0" w:space="0" w:color="auto"/>
        <w:bottom w:val="none" w:sz="0" w:space="0" w:color="auto"/>
        <w:right w:val="none" w:sz="0" w:space="0" w:color="auto"/>
      </w:divBdr>
    </w:div>
    <w:div w:id="1057436610">
      <w:bodyDiv w:val="1"/>
      <w:marLeft w:val="0"/>
      <w:marRight w:val="0"/>
      <w:marTop w:val="0"/>
      <w:marBottom w:val="0"/>
      <w:divBdr>
        <w:top w:val="none" w:sz="0" w:space="0" w:color="auto"/>
        <w:left w:val="none" w:sz="0" w:space="0" w:color="auto"/>
        <w:bottom w:val="none" w:sz="0" w:space="0" w:color="auto"/>
        <w:right w:val="none" w:sz="0" w:space="0" w:color="auto"/>
      </w:divBdr>
    </w:div>
    <w:div w:id="1099134837">
      <w:bodyDiv w:val="1"/>
      <w:marLeft w:val="0"/>
      <w:marRight w:val="0"/>
      <w:marTop w:val="0"/>
      <w:marBottom w:val="0"/>
      <w:divBdr>
        <w:top w:val="none" w:sz="0" w:space="0" w:color="auto"/>
        <w:left w:val="none" w:sz="0" w:space="0" w:color="auto"/>
        <w:bottom w:val="none" w:sz="0" w:space="0" w:color="auto"/>
        <w:right w:val="none" w:sz="0" w:space="0" w:color="auto"/>
      </w:divBdr>
    </w:div>
    <w:div w:id="1145394300">
      <w:bodyDiv w:val="1"/>
      <w:marLeft w:val="0"/>
      <w:marRight w:val="0"/>
      <w:marTop w:val="0"/>
      <w:marBottom w:val="0"/>
      <w:divBdr>
        <w:top w:val="none" w:sz="0" w:space="0" w:color="auto"/>
        <w:left w:val="none" w:sz="0" w:space="0" w:color="auto"/>
        <w:bottom w:val="none" w:sz="0" w:space="0" w:color="auto"/>
        <w:right w:val="none" w:sz="0" w:space="0" w:color="auto"/>
      </w:divBdr>
    </w:div>
    <w:div w:id="1159342456">
      <w:bodyDiv w:val="1"/>
      <w:marLeft w:val="0"/>
      <w:marRight w:val="0"/>
      <w:marTop w:val="0"/>
      <w:marBottom w:val="0"/>
      <w:divBdr>
        <w:top w:val="none" w:sz="0" w:space="0" w:color="auto"/>
        <w:left w:val="none" w:sz="0" w:space="0" w:color="auto"/>
        <w:bottom w:val="none" w:sz="0" w:space="0" w:color="auto"/>
        <w:right w:val="none" w:sz="0" w:space="0" w:color="auto"/>
      </w:divBdr>
    </w:div>
    <w:div w:id="1162812153">
      <w:bodyDiv w:val="1"/>
      <w:marLeft w:val="0"/>
      <w:marRight w:val="0"/>
      <w:marTop w:val="0"/>
      <w:marBottom w:val="0"/>
      <w:divBdr>
        <w:top w:val="none" w:sz="0" w:space="0" w:color="auto"/>
        <w:left w:val="none" w:sz="0" w:space="0" w:color="auto"/>
        <w:bottom w:val="none" w:sz="0" w:space="0" w:color="auto"/>
        <w:right w:val="none" w:sz="0" w:space="0" w:color="auto"/>
      </w:divBdr>
    </w:div>
    <w:div w:id="1190265977">
      <w:bodyDiv w:val="1"/>
      <w:marLeft w:val="0"/>
      <w:marRight w:val="0"/>
      <w:marTop w:val="0"/>
      <w:marBottom w:val="0"/>
      <w:divBdr>
        <w:top w:val="none" w:sz="0" w:space="0" w:color="auto"/>
        <w:left w:val="none" w:sz="0" w:space="0" w:color="auto"/>
        <w:bottom w:val="none" w:sz="0" w:space="0" w:color="auto"/>
        <w:right w:val="none" w:sz="0" w:space="0" w:color="auto"/>
      </w:divBdr>
    </w:div>
    <w:div w:id="1238515288">
      <w:bodyDiv w:val="1"/>
      <w:marLeft w:val="0"/>
      <w:marRight w:val="0"/>
      <w:marTop w:val="0"/>
      <w:marBottom w:val="0"/>
      <w:divBdr>
        <w:top w:val="none" w:sz="0" w:space="0" w:color="auto"/>
        <w:left w:val="none" w:sz="0" w:space="0" w:color="auto"/>
        <w:bottom w:val="none" w:sz="0" w:space="0" w:color="auto"/>
        <w:right w:val="none" w:sz="0" w:space="0" w:color="auto"/>
      </w:divBdr>
    </w:div>
    <w:div w:id="1252157372">
      <w:bodyDiv w:val="1"/>
      <w:marLeft w:val="0"/>
      <w:marRight w:val="0"/>
      <w:marTop w:val="0"/>
      <w:marBottom w:val="0"/>
      <w:divBdr>
        <w:top w:val="none" w:sz="0" w:space="0" w:color="auto"/>
        <w:left w:val="none" w:sz="0" w:space="0" w:color="auto"/>
        <w:bottom w:val="none" w:sz="0" w:space="0" w:color="auto"/>
        <w:right w:val="none" w:sz="0" w:space="0" w:color="auto"/>
      </w:divBdr>
    </w:div>
    <w:div w:id="1252197099">
      <w:bodyDiv w:val="1"/>
      <w:marLeft w:val="0"/>
      <w:marRight w:val="0"/>
      <w:marTop w:val="0"/>
      <w:marBottom w:val="0"/>
      <w:divBdr>
        <w:top w:val="none" w:sz="0" w:space="0" w:color="auto"/>
        <w:left w:val="none" w:sz="0" w:space="0" w:color="auto"/>
        <w:bottom w:val="none" w:sz="0" w:space="0" w:color="auto"/>
        <w:right w:val="none" w:sz="0" w:space="0" w:color="auto"/>
      </w:divBdr>
      <w:divsChild>
        <w:div w:id="768694162">
          <w:marLeft w:val="0"/>
          <w:marRight w:val="0"/>
          <w:marTop w:val="0"/>
          <w:marBottom w:val="0"/>
          <w:divBdr>
            <w:top w:val="none" w:sz="0" w:space="0" w:color="auto"/>
            <w:left w:val="none" w:sz="0" w:space="0" w:color="auto"/>
            <w:bottom w:val="none" w:sz="0" w:space="0" w:color="auto"/>
            <w:right w:val="none" w:sz="0" w:space="0" w:color="auto"/>
          </w:divBdr>
          <w:divsChild>
            <w:div w:id="158889800">
              <w:marLeft w:val="0"/>
              <w:marRight w:val="0"/>
              <w:marTop w:val="0"/>
              <w:marBottom w:val="0"/>
              <w:divBdr>
                <w:top w:val="none" w:sz="0" w:space="0" w:color="auto"/>
                <w:left w:val="none" w:sz="0" w:space="0" w:color="auto"/>
                <w:bottom w:val="none" w:sz="0" w:space="0" w:color="auto"/>
                <w:right w:val="none" w:sz="0" w:space="0" w:color="auto"/>
              </w:divBdr>
              <w:divsChild>
                <w:div w:id="1912498797">
                  <w:marLeft w:val="0"/>
                  <w:marRight w:val="0"/>
                  <w:marTop w:val="0"/>
                  <w:marBottom w:val="0"/>
                  <w:divBdr>
                    <w:top w:val="none" w:sz="0" w:space="0" w:color="auto"/>
                    <w:left w:val="none" w:sz="0" w:space="0" w:color="auto"/>
                    <w:bottom w:val="none" w:sz="0" w:space="0" w:color="auto"/>
                    <w:right w:val="none" w:sz="0" w:space="0" w:color="auto"/>
                  </w:divBdr>
                  <w:divsChild>
                    <w:div w:id="478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78885">
          <w:marLeft w:val="0"/>
          <w:marRight w:val="0"/>
          <w:marTop w:val="0"/>
          <w:marBottom w:val="0"/>
          <w:divBdr>
            <w:top w:val="none" w:sz="0" w:space="0" w:color="auto"/>
            <w:left w:val="none" w:sz="0" w:space="0" w:color="auto"/>
            <w:bottom w:val="none" w:sz="0" w:space="0" w:color="auto"/>
            <w:right w:val="none" w:sz="0" w:space="0" w:color="auto"/>
          </w:divBdr>
          <w:divsChild>
            <w:div w:id="615597449">
              <w:marLeft w:val="0"/>
              <w:marRight w:val="0"/>
              <w:marTop w:val="0"/>
              <w:marBottom w:val="0"/>
              <w:divBdr>
                <w:top w:val="none" w:sz="0" w:space="0" w:color="auto"/>
                <w:left w:val="none" w:sz="0" w:space="0" w:color="auto"/>
                <w:bottom w:val="none" w:sz="0" w:space="0" w:color="auto"/>
                <w:right w:val="none" w:sz="0" w:space="0" w:color="auto"/>
              </w:divBdr>
              <w:divsChild>
                <w:div w:id="1988434159">
                  <w:marLeft w:val="0"/>
                  <w:marRight w:val="0"/>
                  <w:marTop w:val="0"/>
                  <w:marBottom w:val="0"/>
                  <w:divBdr>
                    <w:top w:val="none" w:sz="0" w:space="0" w:color="auto"/>
                    <w:left w:val="none" w:sz="0" w:space="0" w:color="auto"/>
                    <w:bottom w:val="none" w:sz="0" w:space="0" w:color="auto"/>
                    <w:right w:val="none" w:sz="0" w:space="0" w:color="auto"/>
                  </w:divBdr>
                  <w:divsChild>
                    <w:div w:id="67950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43776">
      <w:bodyDiv w:val="1"/>
      <w:marLeft w:val="0"/>
      <w:marRight w:val="0"/>
      <w:marTop w:val="0"/>
      <w:marBottom w:val="0"/>
      <w:divBdr>
        <w:top w:val="none" w:sz="0" w:space="0" w:color="auto"/>
        <w:left w:val="none" w:sz="0" w:space="0" w:color="auto"/>
        <w:bottom w:val="none" w:sz="0" w:space="0" w:color="auto"/>
        <w:right w:val="none" w:sz="0" w:space="0" w:color="auto"/>
      </w:divBdr>
      <w:divsChild>
        <w:div w:id="377510023">
          <w:marLeft w:val="0"/>
          <w:marRight w:val="0"/>
          <w:marTop w:val="0"/>
          <w:marBottom w:val="0"/>
          <w:divBdr>
            <w:top w:val="none" w:sz="0" w:space="0" w:color="auto"/>
            <w:left w:val="none" w:sz="0" w:space="0" w:color="auto"/>
            <w:bottom w:val="none" w:sz="0" w:space="0" w:color="auto"/>
            <w:right w:val="none" w:sz="0" w:space="0" w:color="auto"/>
          </w:divBdr>
          <w:divsChild>
            <w:div w:id="853106065">
              <w:marLeft w:val="0"/>
              <w:marRight w:val="0"/>
              <w:marTop w:val="0"/>
              <w:marBottom w:val="0"/>
              <w:divBdr>
                <w:top w:val="none" w:sz="0" w:space="0" w:color="auto"/>
                <w:left w:val="none" w:sz="0" w:space="0" w:color="auto"/>
                <w:bottom w:val="none" w:sz="0" w:space="0" w:color="auto"/>
                <w:right w:val="none" w:sz="0" w:space="0" w:color="auto"/>
              </w:divBdr>
              <w:divsChild>
                <w:div w:id="1614553492">
                  <w:marLeft w:val="0"/>
                  <w:marRight w:val="0"/>
                  <w:marTop w:val="0"/>
                  <w:marBottom w:val="0"/>
                  <w:divBdr>
                    <w:top w:val="none" w:sz="0" w:space="0" w:color="auto"/>
                    <w:left w:val="none" w:sz="0" w:space="0" w:color="auto"/>
                    <w:bottom w:val="none" w:sz="0" w:space="0" w:color="auto"/>
                    <w:right w:val="none" w:sz="0" w:space="0" w:color="auto"/>
                  </w:divBdr>
                  <w:divsChild>
                    <w:div w:id="1661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56296">
      <w:bodyDiv w:val="1"/>
      <w:marLeft w:val="0"/>
      <w:marRight w:val="0"/>
      <w:marTop w:val="0"/>
      <w:marBottom w:val="0"/>
      <w:divBdr>
        <w:top w:val="none" w:sz="0" w:space="0" w:color="auto"/>
        <w:left w:val="none" w:sz="0" w:space="0" w:color="auto"/>
        <w:bottom w:val="none" w:sz="0" w:space="0" w:color="auto"/>
        <w:right w:val="none" w:sz="0" w:space="0" w:color="auto"/>
      </w:divBdr>
    </w:div>
    <w:div w:id="1522814720">
      <w:bodyDiv w:val="1"/>
      <w:marLeft w:val="0"/>
      <w:marRight w:val="0"/>
      <w:marTop w:val="0"/>
      <w:marBottom w:val="0"/>
      <w:divBdr>
        <w:top w:val="none" w:sz="0" w:space="0" w:color="auto"/>
        <w:left w:val="none" w:sz="0" w:space="0" w:color="auto"/>
        <w:bottom w:val="none" w:sz="0" w:space="0" w:color="auto"/>
        <w:right w:val="none" w:sz="0" w:space="0" w:color="auto"/>
      </w:divBdr>
      <w:divsChild>
        <w:div w:id="417556907">
          <w:marLeft w:val="0"/>
          <w:marRight w:val="0"/>
          <w:marTop w:val="0"/>
          <w:marBottom w:val="0"/>
          <w:divBdr>
            <w:top w:val="none" w:sz="0" w:space="0" w:color="auto"/>
            <w:left w:val="none" w:sz="0" w:space="0" w:color="auto"/>
            <w:bottom w:val="none" w:sz="0" w:space="0" w:color="auto"/>
            <w:right w:val="none" w:sz="0" w:space="0" w:color="auto"/>
          </w:divBdr>
          <w:divsChild>
            <w:div w:id="981427741">
              <w:marLeft w:val="0"/>
              <w:marRight w:val="0"/>
              <w:marTop w:val="0"/>
              <w:marBottom w:val="0"/>
              <w:divBdr>
                <w:top w:val="none" w:sz="0" w:space="0" w:color="auto"/>
                <w:left w:val="none" w:sz="0" w:space="0" w:color="auto"/>
                <w:bottom w:val="none" w:sz="0" w:space="0" w:color="auto"/>
                <w:right w:val="none" w:sz="0" w:space="0" w:color="auto"/>
              </w:divBdr>
              <w:divsChild>
                <w:div w:id="598877164">
                  <w:marLeft w:val="0"/>
                  <w:marRight w:val="0"/>
                  <w:marTop w:val="0"/>
                  <w:marBottom w:val="0"/>
                  <w:divBdr>
                    <w:top w:val="none" w:sz="0" w:space="0" w:color="auto"/>
                    <w:left w:val="none" w:sz="0" w:space="0" w:color="auto"/>
                    <w:bottom w:val="none" w:sz="0" w:space="0" w:color="auto"/>
                    <w:right w:val="none" w:sz="0" w:space="0" w:color="auto"/>
                  </w:divBdr>
                  <w:divsChild>
                    <w:div w:id="110843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527781">
      <w:bodyDiv w:val="1"/>
      <w:marLeft w:val="0"/>
      <w:marRight w:val="0"/>
      <w:marTop w:val="0"/>
      <w:marBottom w:val="0"/>
      <w:divBdr>
        <w:top w:val="none" w:sz="0" w:space="0" w:color="auto"/>
        <w:left w:val="none" w:sz="0" w:space="0" w:color="auto"/>
        <w:bottom w:val="none" w:sz="0" w:space="0" w:color="auto"/>
        <w:right w:val="none" w:sz="0" w:space="0" w:color="auto"/>
      </w:divBdr>
    </w:div>
    <w:div w:id="1716077307">
      <w:bodyDiv w:val="1"/>
      <w:marLeft w:val="0"/>
      <w:marRight w:val="0"/>
      <w:marTop w:val="0"/>
      <w:marBottom w:val="0"/>
      <w:divBdr>
        <w:top w:val="none" w:sz="0" w:space="0" w:color="auto"/>
        <w:left w:val="none" w:sz="0" w:space="0" w:color="auto"/>
        <w:bottom w:val="none" w:sz="0" w:space="0" w:color="auto"/>
        <w:right w:val="none" w:sz="0" w:space="0" w:color="auto"/>
      </w:divBdr>
      <w:divsChild>
        <w:div w:id="1773352676">
          <w:marLeft w:val="0"/>
          <w:marRight w:val="0"/>
          <w:marTop w:val="0"/>
          <w:marBottom w:val="0"/>
          <w:divBdr>
            <w:top w:val="none" w:sz="0" w:space="0" w:color="auto"/>
            <w:left w:val="none" w:sz="0" w:space="0" w:color="auto"/>
            <w:bottom w:val="none" w:sz="0" w:space="0" w:color="auto"/>
            <w:right w:val="none" w:sz="0" w:space="0" w:color="auto"/>
          </w:divBdr>
          <w:divsChild>
            <w:div w:id="554239316">
              <w:marLeft w:val="0"/>
              <w:marRight w:val="0"/>
              <w:marTop w:val="0"/>
              <w:marBottom w:val="0"/>
              <w:divBdr>
                <w:top w:val="none" w:sz="0" w:space="0" w:color="auto"/>
                <w:left w:val="none" w:sz="0" w:space="0" w:color="auto"/>
                <w:bottom w:val="none" w:sz="0" w:space="0" w:color="auto"/>
                <w:right w:val="none" w:sz="0" w:space="0" w:color="auto"/>
              </w:divBdr>
              <w:divsChild>
                <w:div w:id="967204361">
                  <w:marLeft w:val="0"/>
                  <w:marRight w:val="0"/>
                  <w:marTop w:val="0"/>
                  <w:marBottom w:val="0"/>
                  <w:divBdr>
                    <w:top w:val="none" w:sz="0" w:space="0" w:color="auto"/>
                    <w:left w:val="none" w:sz="0" w:space="0" w:color="auto"/>
                    <w:bottom w:val="none" w:sz="0" w:space="0" w:color="auto"/>
                    <w:right w:val="none" w:sz="0" w:space="0" w:color="auto"/>
                  </w:divBdr>
                  <w:divsChild>
                    <w:div w:id="2736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14608">
      <w:bodyDiv w:val="1"/>
      <w:marLeft w:val="0"/>
      <w:marRight w:val="0"/>
      <w:marTop w:val="0"/>
      <w:marBottom w:val="0"/>
      <w:divBdr>
        <w:top w:val="none" w:sz="0" w:space="0" w:color="auto"/>
        <w:left w:val="none" w:sz="0" w:space="0" w:color="auto"/>
        <w:bottom w:val="none" w:sz="0" w:space="0" w:color="auto"/>
        <w:right w:val="none" w:sz="0" w:space="0" w:color="auto"/>
      </w:divBdr>
    </w:div>
    <w:div w:id="1825387726">
      <w:bodyDiv w:val="1"/>
      <w:marLeft w:val="0"/>
      <w:marRight w:val="0"/>
      <w:marTop w:val="0"/>
      <w:marBottom w:val="0"/>
      <w:divBdr>
        <w:top w:val="none" w:sz="0" w:space="0" w:color="auto"/>
        <w:left w:val="none" w:sz="0" w:space="0" w:color="auto"/>
        <w:bottom w:val="none" w:sz="0" w:space="0" w:color="auto"/>
        <w:right w:val="none" w:sz="0" w:space="0" w:color="auto"/>
      </w:divBdr>
    </w:div>
    <w:div w:id="1943762469">
      <w:bodyDiv w:val="1"/>
      <w:marLeft w:val="0"/>
      <w:marRight w:val="0"/>
      <w:marTop w:val="0"/>
      <w:marBottom w:val="0"/>
      <w:divBdr>
        <w:top w:val="none" w:sz="0" w:space="0" w:color="auto"/>
        <w:left w:val="none" w:sz="0" w:space="0" w:color="auto"/>
        <w:bottom w:val="none" w:sz="0" w:space="0" w:color="auto"/>
        <w:right w:val="none" w:sz="0" w:space="0" w:color="auto"/>
      </w:divBdr>
    </w:div>
    <w:div w:id="1981302934">
      <w:bodyDiv w:val="1"/>
      <w:marLeft w:val="0"/>
      <w:marRight w:val="0"/>
      <w:marTop w:val="0"/>
      <w:marBottom w:val="0"/>
      <w:divBdr>
        <w:top w:val="none" w:sz="0" w:space="0" w:color="auto"/>
        <w:left w:val="none" w:sz="0" w:space="0" w:color="auto"/>
        <w:bottom w:val="none" w:sz="0" w:space="0" w:color="auto"/>
        <w:right w:val="none" w:sz="0" w:space="0" w:color="auto"/>
      </w:divBdr>
    </w:div>
    <w:div w:id="2056003352">
      <w:bodyDiv w:val="1"/>
      <w:marLeft w:val="0"/>
      <w:marRight w:val="0"/>
      <w:marTop w:val="0"/>
      <w:marBottom w:val="0"/>
      <w:divBdr>
        <w:top w:val="none" w:sz="0" w:space="0" w:color="auto"/>
        <w:left w:val="none" w:sz="0" w:space="0" w:color="auto"/>
        <w:bottom w:val="none" w:sz="0" w:space="0" w:color="auto"/>
        <w:right w:val="none" w:sz="0" w:space="0" w:color="auto"/>
      </w:divBdr>
    </w:div>
    <w:div w:id="2080320765">
      <w:bodyDiv w:val="1"/>
      <w:marLeft w:val="0"/>
      <w:marRight w:val="0"/>
      <w:marTop w:val="0"/>
      <w:marBottom w:val="0"/>
      <w:divBdr>
        <w:top w:val="none" w:sz="0" w:space="0" w:color="auto"/>
        <w:left w:val="none" w:sz="0" w:space="0" w:color="auto"/>
        <w:bottom w:val="none" w:sz="0" w:space="0" w:color="auto"/>
        <w:right w:val="none" w:sz="0" w:space="0" w:color="auto"/>
      </w:divBdr>
    </w:div>
    <w:div w:id="208679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703af0-bd75-489c-9a4c-9bfd5afdf339">
      <Terms xmlns="http://schemas.microsoft.com/office/infopath/2007/PartnerControls"/>
    </lcf76f155ced4ddcb4097134ff3c332f>
    <TaxCatchAll xmlns="7f87260b-4471-4112-9e13-a4ac002285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0E99033FBBDF943A3D31693FFC3BAB4" ma:contentTypeVersion="15" ma:contentTypeDescription="Utwórz nowy dokument." ma:contentTypeScope="" ma:versionID="c247e299668542efa2dddcd9cdadf59b">
  <xsd:schema xmlns:xsd="http://www.w3.org/2001/XMLSchema" xmlns:xs="http://www.w3.org/2001/XMLSchema" xmlns:p="http://schemas.microsoft.com/office/2006/metadata/properties" xmlns:ns2="8b703af0-bd75-489c-9a4c-9bfd5afdf339" xmlns:ns3="7f87260b-4471-4112-9e13-a4ac0022851d" targetNamespace="http://schemas.microsoft.com/office/2006/metadata/properties" ma:root="true" ma:fieldsID="570fec0d12f201cc8251f3db0b101fb8" ns2:_="" ns3:_="">
    <xsd:import namespace="8b703af0-bd75-489c-9a4c-9bfd5afdf339"/>
    <xsd:import namespace="7f87260b-4471-4112-9e13-a4ac002285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03af0-bd75-489c-9a4c-9bfd5afdf3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8110cfe6-e8a2-4e19-9a2c-a541c0dcf68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7260b-4471-4112-9e13-a4ac002285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6ec8f4-d62e-4a94-ab5c-68e3bde98aca}" ma:internalName="TaxCatchAll" ma:showField="CatchAllData" ma:web="7f87260b-4471-4112-9e13-a4ac0022851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B31FC-91CC-42C9-BCE0-C85ECA0C4C81}">
  <ds:schemaRefs>
    <ds:schemaRef ds:uri="http://schemas.openxmlformats.org/officeDocument/2006/bibliography"/>
  </ds:schemaRefs>
</ds:datastoreItem>
</file>

<file path=customXml/itemProps2.xml><?xml version="1.0" encoding="utf-8"?>
<ds:datastoreItem xmlns:ds="http://schemas.openxmlformats.org/officeDocument/2006/customXml" ds:itemID="{47261993-865C-4082-A10C-53354F042DF9}">
  <ds:schemaRefs>
    <ds:schemaRef ds:uri="http://schemas.microsoft.com/office/2006/metadata/properties"/>
    <ds:schemaRef ds:uri="http://schemas.microsoft.com/office/infopath/2007/PartnerControls"/>
    <ds:schemaRef ds:uri="8b703af0-bd75-489c-9a4c-9bfd5afdf339"/>
    <ds:schemaRef ds:uri="7f87260b-4471-4112-9e13-a4ac0022851d"/>
  </ds:schemaRefs>
</ds:datastoreItem>
</file>

<file path=customXml/itemProps3.xml><?xml version="1.0" encoding="utf-8"?>
<ds:datastoreItem xmlns:ds="http://schemas.openxmlformats.org/officeDocument/2006/customXml" ds:itemID="{558B4728-5274-4E83-B35B-546226E20DC7}">
  <ds:schemaRefs>
    <ds:schemaRef ds:uri="http://schemas.microsoft.com/sharepoint/v3/contenttype/forms"/>
  </ds:schemaRefs>
</ds:datastoreItem>
</file>

<file path=customXml/itemProps4.xml><?xml version="1.0" encoding="utf-8"?>
<ds:datastoreItem xmlns:ds="http://schemas.openxmlformats.org/officeDocument/2006/customXml" ds:itemID="{9657AC9F-E37C-4D36-A529-16D7233BA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03af0-bd75-489c-9a4c-9bfd5afdf339"/>
    <ds:schemaRef ds:uri="7f87260b-4471-4112-9e13-a4ac00228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14</Pages>
  <Words>4301</Words>
  <Characters>25808</Characters>
  <Application>Microsoft Office Word</Application>
  <DocSecurity>0</DocSecurity>
  <Lines>215</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Farhan</dc:creator>
  <cp:keywords/>
  <dc:description/>
  <cp:lastModifiedBy>Jakub Farhan</cp:lastModifiedBy>
  <cp:revision>29</cp:revision>
  <cp:lastPrinted>2025-02-25T21:37:00Z</cp:lastPrinted>
  <dcterms:created xsi:type="dcterms:W3CDTF">2025-03-02T18:58:00Z</dcterms:created>
  <dcterms:modified xsi:type="dcterms:W3CDTF">2026-02-13T14:20:00Z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zotero-version="6.0.35"&gt;&lt;session id="GoGSuXTX"/&gt;&lt;style id="http://www.zotero.org/styles/polish-legal" hasBibliography="1" bibliographyStyleHasBeenSet="1"/&gt;&lt;prefs&gt;&lt;pref name="fieldType" value="Field"/&gt;&lt;pref name="noteType" value="1"/</vt:lpwstr>
  </property>
  <property fmtid="{D5CDD505-2E9C-101B-9397-08002B2CF9AE}" pid="3" name="ZOTERO_PREF_2">
    <vt:lpwstr>&gt;&lt;/prefs&gt;&lt;/data&gt;</vt:lpwstr>
  </property>
  <property fmtid="{D5CDD505-2E9C-101B-9397-08002B2CF9AE}" pid="4" name="ContentTypeId">
    <vt:lpwstr>0x010100E0E99033FBBDF943A3D31693FFC3BAB4</vt:lpwstr>
  </property>
</Properties>
</file>